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2432" w:type="pct"/>
        <w:jc w:val="right"/>
        <w:tblLook w:val="04A0" w:firstRow="1" w:lastRow="0" w:firstColumn="1" w:lastColumn="0" w:noHBand="0" w:noVBand="1"/>
      </w:tblPr>
      <w:tblGrid>
        <w:gridCol w:w="5345"/>
      </w:tblGrid>
      <w:tr w:rsidR="000E60E7" w:rsidRPr="00551C5C" w:rsidTr="00551C5C">
        <w:trPr>
          <w:jc w:val="right"/>
        </w:trPr>
        <w:tc>
          <w:tcPr>
            <w:tcW w:w="5000" w:type="pct"/>
            <w:tcBorders>
              <w:tl2br w:val="nil"/>
              <w:tr2bl w:val="nil"/>
            </w:tcBorders>
          </w:tcPr>
          <w:p w:rsidR="000E60E7" w:rsidRPr="00551C5C" w:rsidRDefault="00551C5C" w:rsidP="00551C5C">
            <w:pPr>
              <w:jc w:val="center"/>
              <w:rPr>
                <w:rFonts w:ascii="Times New Roman" w:cs="Times New Roman"/>
                <w:b/>
                <w:color w:val="000000"/>
                <w:sz w:val="22"/>
                <w:szCs w:val="24"/>
                <w:lang w:eastAsia="en-US"/>
              </w:rPr>
            </w:pPr>
            <w:r w:rsidRPr="00551C5C">
              <w:rPr>
                <w:rFonts w:ascii="Times New Roman" w:cs="Times New Roman"/>
                <w:b/>
                <w:color w:val="000000"/>
                <w:sz w:val="22"/>
                <w:szCs w:val="24"/>
                <w:lang w:eastAsia="en-US"/>
              </w:rPr>
              <w:t>Действует с 01 апреля 2024 года</w:t>
            </w:r>
          </w:p>
        </w:tc>
      </w:tr>
    </w:tbl>
    <w:p w:rsidR="00551C5C" w:rsidRPr="00551C5C" w:rsidRDefault="00551C5C">
      <w:pPr>
        <w:rPr>
          <w:rFonts w:ascii="Times New Roman" w:cs="Times New Roman"/>
        </w:r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988"/>
      </w:tblGrid>
      <w:tr w:rsidR="00551C5C" w:rsidTr="00551C5C">
        <w:tc>
          <w:tcPr>
            <w:tcW w:w="5000" w:type="pct"/>
            <w:shd w:val="clear" w:color="auto" w:fill="FBD4B4" w:themeFill="accent6" w:themeFillTint="66"/>
          </w:tcPr>
          <w:p w:rsidR="00551C5C" w:rsidRDefault="00551C5C" w:rsidP="00551C5C">
            <w:pPr>
              <w:spacing w:before="120"/>
              <w:jc w:val="center"/>
              <w:rPr>
                <w:rFonts w:asci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cs="Times New Roman"/>
                <w:b/>
                <w:sz w:val="24"/>
                <w:szCs w:val="24"/>
                <w:lang w:eastAsia="en-US"/>
              </w:rPr>
              <w:t>ПЕРЕЧЕНЬ ИНСАЙДЕРСКОЙ ИНФОРМАЦИИ</w:t>
            </w:r>
          </w:p>
          <w:p w:rsidR="00551C5C" w:rsidRDefault="00551C5C" w:rsidP="00551C5C">
            <w:pPr>
              <w:spacing w:after="120"/>
              <w:jc w:val="center"/>
              <w:rPr>
                <w:rFonts w:asci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cs="Times New Roman"/>
                <w:b/>
                <w:sz w:val="24"/>
                <w:szCs w:val="24"/>
                <w:lang w:eastAsia="en-US"/>
              </w:rPr>
              <w:t>Банка Глобус (АО)</w:t>
            </w:r>
          </w:p>
        </w:tc>
      </w:tr>
    </w:tbl>
    <w:p w:rsidR="000E60E7" w:rsidRPr="00551C5C" w:rsidRDefault="00571006" w:rsidP="00551C5C">
      <w:pPr>
        <w:pStyle w:val="af5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cs="Times New Roman"/>
        </w:rPr>
      </w:pPr>
      <w:r w:rsidRPr="00551C5C">
        <w:rPr>
          <w:rFonts w:ascii="Times New Roman" w:cs="Times New Roman"/>
        </w:rPr>
        <w:t>Настоящий Перечень инсайдерской информации Банка Глобус (АО) (далее – Перечень) разработан в соответствии с:</w:t>
      </w:r>
    </w:p>
    <w:p w:rsidR="000E60E7" w:rsidRPr="00551C5C" w:rsidRDefault="00571006">
      <w:pPr>
        <w:numPr>
          <w:ilvl w:val="0"/>
          <w:numId w:val="2"/>
        </w:numPr>
        <w:ind w:left="709" w:firstLine="0"/>
        <w:jc w:val="both"/>
        <w:rPr>
          <w:rFonts w:ascii="Times New Roman" w:cs="Times New Roman"/>
          <w:sz w:val="22"/>
          <w:szCs w:val="22"/>
          <w:lang w:eastAsia="en-US"/>
        </w:rPr>
      </w:pPr>
      <w:r w:rsidRPr="00551C5C">
        <w:rPr>
          <w:rFonts w:ascii="Times New Roman" w:cs="Times New Roman"/>
          <w:sz w:val="22"/>
          <w:szCs w:val="22"/>
          <w:lang w:eastAsia="en-US"/>
        </w:rPr>
        <w:t>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:rsidR="000E60E7" w:rsidRPr="00551C5C" w:rsidRDefault="00571006">
      <w:pPr>
        <w:numPr>
          <w:ilvl w:val="0"/>
          <w:numId w:val="2"/>
        </w:numPr>
        <w:ind w:left="709" w:firstLine="0"/>
        <w:jc w:val="both"/>
        <w:rPr>
          <w:rFonts w:ascii="Times New Roman" w:cs="Times New Roman"/>
          <w:sz w:val="22"/>
          <w:szCs w:val="22"/>
          <w:lang w:eastAsia="en-US"/>
        </w:rPr>
      </w:pPr>
      <w:r w:rsidRPr="00551C5C">
        <w:rPr>
          <w:rFonts w:ascii="Times New Roman" w:cs="Times New Roman"/>
          <w:sz w:val="22"/>
          <w:szCs w:val="22"/>
          <w:lang w:eastAsia="en-US"/>
        </w:rPr>
        <w:t>Указанием Банка России от 27.09.2021 № 5946-У «О перечне инсайдерской информации юридических лиц, указанных в пунктах 1,3,4,11 и 12 статьи 4 Федерального закона от 27 июля 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а также о порядке и сроках ее раскрытия»;</w:t>
      </w:r>
    </w:p>
    <w:p w:rsidR="000E60E7" w:rsidRPr="00551C5C" w:rsidRDefault="00571006">
      <w:pPr>
        <w:numPr>
          <w:ilvl w:val="0"/>
          <w:numId w:val="2"/>
        </w:numPr>
        <w:ind w:left="709" w:firstLine="0"/>
        <w:jc w:val="both"/>
        <w:rPr>
          <w:rFonts w:ascii="Times New Roman" w:cs="Times New Roman"/>
          <w:sz w:val="22"/>
          <w:szCs w:val="22"/>
          <w:lang w:eastAsia="en-US"/>
        </w:rPr>
      </w:pPr>
      <w:r w:rsidRPr="00551C5C">
        <w:rPr>
          <w:rFonts w:ascii="Times New Roman" w:cs="Times New Roman"/>
          <w:sz w:val="22"/>
          <w:szCs w:val="22"/>
          <w:lang w:eastAsia="en-US"/>
        </w:rPr>
        <w:t>иными нормативными актами Цент</w:t>
      </w:r>
      <w:bookmarkStart w:id="0" w:name="_GoBack"/>
      <w:bookmarkEnd w:id="0"/>
      <w:r w:rsidRPr="00551C5C">
        <w:rPr>
          <w:rFonts w:ascii="Times New Roman" w:cs="Times New Roman"/>
          <w:sz w:val="22"/>
          <w:szCs w:val="22"/>
          <w:lang w:eastAsia="en-US"/>
        </w:rPr>
        <w:t>рального банка Российской Федерации (Банка России), регулирующими деятельность кредитных организаций на финансовых рынках;</w:t>
      </w:r>
    </w:p>
    <w:p w:rsidR="000E60E7" w:rsidRPr="00551C5C" w:rsidRDefault="00571006">
      <w:pPr>
        <w:numPr>
          <w:ilvl w:val="0"/>
          <w:numId w:val="2"/>
        </w:numPr>
        <w:ind w:left="709" w:firstLine="0"/>
        <w:jc w:val="both"/>
        <w:rPr>
          <w:rFonts w:ascii="Times New Roman" w:cs="Times New Roman"/>
          <w:sz w:val="22"/>
          <w:szCs w:val="22"/>
          <w:lang w:eastAsia="en-US"/>
        </w:rPr>
      </w:pPr>
      <w:r w:rsidRPr="00551C5C">
        <w:rPr>
          <w:rFonts w:ascii="Times New Roman" w:cs="Times New Roman"/>
          <w:sz w:val="22"/>
          <w:szCs w:val="22"/>
          <w:lang w:eastAsia="en-US"/>
        </w:rPr>
        <w:t>иными федеральными законами и нормативными правовыми актами Российской Федерации;</w:t>
      </w:r>
    </w:p>
    <w:p w:rsidR="000E60E7" w:rsidRPr="00551C5C" w:rsidRDefault="00571006">
      <w:pPr>
        <w:numPr>
          <w:ilvl w:val="0"/>
          <w:numId w:val="2"/>
        </w:numPr>
        <w:ind w:left="709" w:firstLine="0"/>
        <w:jc w:val="both"/>
        <w:rPr>
          <w:rFonts w:ascii="Times New Roman" w:cs="Times New Roman"/>
          <w:sz w:val="22"/>
          <w:szCs w:val="22"/>
          <w:lang w:eastAsia="en-US"/>
        </w:rPr>
      </w:pPr>
      <w:r w:rsidRPr="00551C5C">
        <w:rPr>
          <w:rFonts w:ascii="Times New Roman" w:cs="Times New Roman"/>
          <w:sz w:val="22"/>
          <w:szCs w:val="22"/>
          <w:lang w:eastAsia="en-US"/>
        </w:rPr>
        <w:t>Порядком доступа к инсайдерской информации, охраны ее конфиденциальности и контроля за соблюдением требований действующего законодательства в Банке Глобус (АО)</w:t>
      </w:r>
    </w:p>
    <w:p w:rsidR="000E60E7" w:rsidRPr="00551C5C" w:rsidRDefault="00571006">
      <w:pPr>
        <w:spacing w:after="120"/>
        <w:jc w:val="both"/>
        <w:rPr>
          <w:rFonts w:ascii="Times New Roman" w:cs="Times New Roman"/>
          <w:sz w:val="22"/>
          <w:szCs w:val="22"/>
          <w:lang w:eastAsia="en-US"/>
        </w:rPr>
      </w:pPr>
      <w:r w:rsidRPr="00551C5C">
        <w:rPr>
          <w:rFonts w:ascii="Times New Roman" w:cs="Times New Roman"/>
          <w:sz w:val="22"/>
          <w:szCs w:val="22"/>
          <w:lang w:eastAsia="en-US"/>
        </w:rPr>
        <w:t>и определяет исчерпывающий перечень информации, относящейся к инсайдерской в Банке Глобус (АО) (далее – Банк).</w:t>
      </w:r>
    </w:p>
    <w:p w:rsidR="000E60E7" w:rsidRPr="00551C5C" w:rsidRDefault="00571006">
      <w:pPr>
        <w:spacing w:after="120"/>
        <w:ind w:firstLine="709"/>
        <w:jc w:val="both"/>
        <w:rPr>
          <w:rFonts w:ascii="Times New Roman" w:cs="Times New Roman"/>
          <w:sz w:val="22"/>
          <w:szCs w:val="22"/>
          <w:lang w:eastAsia="en-US"/>
        </w:rPr>
      </w:pPr>
      <w:r w:rsidRPr="00551C5C">
        <w:rPr>
          <w:rFonts w:ascii="Times New Roman" w:cs="Times New Roman"/>
          <w:b/>
          <w:sz w:val="22"/>
          <w:szCs w:val="22"/>
          <w:lang w:eastAsia="en-US"/>
        </w:rPr>
        <w:t>Инсайдерская информация</w:t>
      </w:r>
      <w:r w:rsidRPr="00551C5C">
        <w:rPr>
          <w:rFonts w:ascii="Times New Roman" w:cs="Times New Roman"/>
          <w:sz w:val="22"/>
          <w:szCs w:val="22"/>
          <w:lang w:eastAsia="en-US"/>
        </w:rPr>
        <w:t xml:space="preserve"> – точная и конкретная информация, которая не была распространена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 и распространение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бумаг, одной или нескольких управляющих компаний инвестиционных фондов, паевых инвестиционных фондов и негосударственных пенсионных фондов, либо одного или нескольких финансовых инструментов, иностранной валюты и (или) товаров).</w:t>
      </w:r>
    </w:p>
    <w:p w:rsidR="000E60E7" w:rsidRPr="00551C5C" w:rsidRDefault="00571006">
      <w:pPr>
        <w:spacing w:after="120"/>
        <w:ind w:firstLine="709"/>
        <w:jc w:val="both"/>
        <w:rPr>
          <w:rFonts w:ascii="Times New Roman" w:cs="Times New Roman"/>
          <w:sz w:val="22"/>
          <w:szCs w:val="22"/>
          <w:lang w:eastAsia="en-US"/>
        </w:rPr>
      </w:pPr>
      <w:r w:rsidRPr="00551C5C">
        <w:rPr>
          <w:rFonts w:ascii="Times New Roman" w:cs="Times New Roman"/>
          <w:sz w:val="22"/>
          <w:szCs w:val="22"/>
        </w:rPr>
        <w:t>К Инсайдерской информации Банка как профессионального участника рынка ценных бумаг, осуществляющего в интересах клиентов операции с финансовыми инструментами и иностранной валютой, допущенными к организованным торгам, получившего Инсайдерскую информацию от клиентов, относится следующая информация: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63"/>
        <w:gridCol w:w="8278"/>
        <w:gridCol w:w="2147"/>
      </w:tblGrid>
      <w:tr w:rsidR="000E60E7" w:rsidRPr="00551C5C">
        <w:tc>
          <w:tcPr>
            <w:tcW w:w="256" w:type="pct"/>
          </w:tcPr>
          <w:p w:rsidR="000E60E7" w:rsidRPr="00551C5C" w:rsidRDefault="00571006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3767" w:type="pct"/>
          </w:tcPr>
          <w:p w:rsidR="000E60E7" w:rsidRPr="00551C5C" w:rsidRDefault="00571006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Информация, содержащаяся в поручениях клиентов на совершение сделок с ценными бумагами</w:t>
            </w:r>
          </w:p>
        </w:tc>
        <w:tc>
          <w:tcPr>
            <w:tcW w:w="0" w:type="auto"/>
          </w:tcPr>
          <w:p w:rsidR="000E60E7" w:rsidRPr="00551C5C" w:rsidRDefault="00571006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Не раскрывается</w:t>
            </w:r>
          </w:p>
        </w:tc>
      </w:tr>
      <w:tr w:rsidR="000E60E7" w:rsidRPr="00551C5C">
        <w:tc>
          <w:tcPr>
            <w:tcW w:w="256" w:type="pct"/>
          </w:tcPr>
          <w:p w:rsidR="000E60E7" w:rsidRPr="00551C5C" w:rsidRDefault="00571006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3767" w:type="pct"/>
          </w:tcPr>
          <w:p w:rsidR="000E60E7" w:rsidRPr="00551C5C" w:rsidRDefault="00571006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Информация, содержащаяся в поручениях клиентов на заключение договоров, являющихся производными финансовыми инструментами</w:t>
            </w:r>
          </w:p>
        </w:tc>
        <w:tc>
          <w:tcPr>
            <w:tcW w:w="0" w:type="auto"/>
          </w:tcPr>
          <w:p w:rsidR="000E60E7" w:rsidRPr="00551C5C" w:rsidRDefault="00571006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Не раскрывается</w:t>
            </w:r>
          </w:p>
        </w:tc>
      </w:tr>
      <w:tr w:rsidR="000E60E7" w:rsidRPr="00551C5C">
        <w:tc>
          <w:tcPr>
            <w:tcW w:w="256" w:type="pct"/>
          </w:tcPr>
          <w:p w:rsidR="000E60E7" w:rsidRPr="00551C5C" w:rsidRDefault="00571006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3767" w:type="pct"/>
          </w:tcPr>
          <w:p w:rsidR="000E60E7" w:rsidRPr="00551C5C" w:rsidRDefault="00571006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Информация, содержащаяся в поручениях клиентов на приобретение (покупку) или продажу иностранной валюты через организаторов торговли</w:t>
            </w:r>
          </w:p>
        </w:tc>
        <w:tc>
          <w:tcPr>
            <w:tcW w:w="0" w:type="auto"/>
          </w:tcPr>
          <w:p w:rsidR="000E60E7" w:rsidRPr="00551C5C" w:rsidRDefault="00571006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Не раскрывается</w:t>
            </w:r>
          </w:p>
        </w:tc>
      </w:tr>
      <w:tr w:rsidR="000E60E7" w:rsidRPr="00551C5C">
        <w:tc>
          <w:tcPr>
            <w:tcW w:w="256" w:type="pct"/>
          </w:tcPr>
          <w:p w:rsidR="000E60E7" w:rsidRPr="00551C5C" w:rsidRDefault="00571006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3767" w:type="pct"/>
          </w:tcPr>
          <w:p w:rsidR="000E60E7" w:rsidRPr="00551C5C" w:rsidRDefault="00571006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Информация об операциях кредитной организации с иностранной валютой, связанных с проведением банковских операций в интересах клиентов, в случае если проведение таких операций влечет необходимость для кредитной организации совершать операции на организованных торгах и проведение указанных операций может оказать существенное влияние на цену иностранной валюты</w:t>
            </w:r>
          </w:p>
        </w:tc>
        <w:tc>
          <w:tcPr>
            <w:tcW w:w="0" w:type="auto"/>
          </w:tcPr>
          <w:p w:rsidR="000E60E7" w:rsidRPr="00551C5C" w:rsidRDefault="00571006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Не раскрывается</w:t>
            </w:r>
          </w:p>
        </w:tc>
      </w:tr>
      <w:tr w:rsidR="00C2558F" w:rsidRPr="00551C5C">
        <w:tc>
          <w:tcPr>
            <w:tcW w:w="256" w:type="pct"/>
          </w:tcPr>
          <w:p w:rsidR="00C2558F" w:rsidRPr="00551C5C" w:rsidRDefault="00C2558F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767" w:type="pct"/>
          </w:tcPr>
          <w:p w:rsidR="00C2558F" w:rsidRPr="00551C5C" w:rsidRDefault="00C2558F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Информация, содержащаяся в поданных клиентами сообщениях о намерении заключить договор на организованных торгах, содержащих условия такого договора</w:t>
            </w:r>
          </w:p>
        </w:tc>
        <w:tc>
          <w:tcPr>
            <w:tcW w:w="0" w:type="auto"/>
          </w:tcPr>
          <w:p w:rsidR="00C2558F" w:rsidRPr="00551C5C" w:rsidRDefault="00C2558F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551C5C">
              <w:rPr>
                <w:rFonts w:ascii="Times New Roman" w:cs="Times New Roman"/>
                <w:sz w:val="22"/>
                <w:szCs w:val="22"/>
              </w:rPr>
              <w:t>Не раскрывается</w:t>
            </w:r>
          </w:p>
        </w:tc>
      </w:tr>
    </w:tbl>
    <w:p w:rsidR="000E60E7" w:rsidRPr="00551C5C" w:rsidRDefault="00571006">
      <w:pPr>
        <w:pStyle w:val="af5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cs="Times New Roman"/>
        </w:rPr>
      </w:pPr>
      <w:r w:rsidRPr="00551C5C">
        <w:rPr>
          <w:rFonts w:ascii="Times New Roman" w:cs="Times New Roman"/>
        </w:rPr>
        <w:t>Дополнительный (собственный) перечень Инсайдерской информации включает в себя:</w:t>
      </w:r>
    </w:p>
    <w:p w:rsidR="000E60E7" w:rsidRPr="00551C5C" w:rsidRDefault="00571006">
      <w:pPr>
        <w:pStyle w:val="af5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cs="Times New Roman"/>
        </w:rPr>
      </w:pPr>
      <w:r w:rsidRPr="00551C5C">
        <w:rPr>
          <w:rFonts w:ascii="Times New Roman" w:cs="Times New Roman"/>
        </w:rPr>
        <w:t>Информацию о факте существенного отклонения экономических показателей Банка Глобус (АО) от прогнозов, содержащихся в ежеквартальных отчетах Банка Глобус (АО).</w:t>
      </w:r>
    </w:p>
    <w:p w:rsidR="000E60E7" w:rsidRPr="00551C5C" w:rsidRDefault="00571006">
      <w:pPr>
        <w:pStyle w:val="af5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cs="Times New Roman"/>
        </w:rPr>
      </w:pPr>
      <w:r w:rsidRPr="00551C5C">
        <w:rPr>
          <w:rFonts w:ascii="Times New Roman" w:cs="Times New Roman"/>
        </w:rPr>
        <w:t>Информацию о внедрении Банком новых технологических решений.</w:t>
      </w:r>
    </w:p>
    <w:p w:rsidR="000E60E7" w:rsidRPr="00551C5C" w:rsidRDefault="00571006">
      <w:pPr>
        <w:pStyle w:val="af5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cs="Times New Roman"/>
        </w:rPr>
      </w:pPr>
      <w:r w:rsidRPr="00551C5C">
        <w:rPr>
          <w:rFonts w:ascii="Times New Roman" w:cs="Times New Roman"/>
        </w:rPr>
        <w:t>Информацию о результатах проверок Банка Глобус (АО) органами государственного контроля (надзора).</w:t>
      </w:r>
    </w:p>
    <w:p w:rsidR="000E60E7" w:rsidRPr="00551C5C" w:rsidRDefault="00571006">
      <w:pPr>
        <w:pStyle w:val="af5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cs="Times New Roman"/>
        </w:rPr>
      </w:pPr>
      <w:r w:rsidRPr="00551C5C">
        <w:rPr>
          <w:rFonts w:ascii="Times New Roman" w:cs="Times New Roman"/>
        </w:rPr>
        <w:t>Информацию о крупных сбоях в IT-системах Банка, в том числе на объектах критической информационной инфраструктуры, влекущих ущерб деловой репутации Банка.</w:t>
      </w:r>
    </w:p>
    <w:p w:rsidR="000E60E7" w:rsidRPr="00551C5C" w:rsidRDefault="00571006" w:rsidP="00551C5C">
      <w:pPr>
        <w:pStyle w:val="af5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cs="Times New Roman"/>
        </w:rPr>
      </w:pPr>
      <w:r w:rsidRPr="00551C5C">
        <w:rPr>
          <w:rFonts w:ascii="Times New Roman" w:cs="Times New Roman"/>
        </w:rPr>
        <w:t>Информацию о сбоях в системе безопасности Банка, влекущих ущерб деловой репутации Банка</w:t>
      </w:r>
      <w:r w:rsidR="00551C5C" w:rsidRPr="00551C5C">
        <w:rPr>
          <w:rFonts w:ascii="Times New Roman" w:cs="Times New Roman"/>
        </w:rPr>
        <w:t>.</w:t>
      </w:r>
    </w:p>
    <w:sectPr w:rsidR="000E60E7" w:rsidRPr="00551C5C" w:rsidSect="00551C5C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F4" w:rsidRDefault="00417CF4">
      <w:r>
        <w:separator/>
      </w:r>
    </w:p>
  </w:endnote>
  <w:endnote w:type="continuationSeparator" w:id="0">
    <w:p w:rsidR="00417CF4" w:rsidRDefault="0041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E7" w:rsidRDefault="000E60E7">
    <w:pPr>
      <w:pStyle w:val="af2"/>
      <w:jc w:val="center"/>
      <w:rPr>
        <w:rFonts w:asci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F4" w:rsidRDefault="00417CF4">
      <w:r>
        <w:separator/>
      </w:r>
    </w:p>
  </w:footnote>
  <w:footnote w:type="continuationSeparator" w:id="0">
    <w:p w:rsidR="00417CF4" w:rsidRDefault="0041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018"/>
    <w:multiLevelType w:val="multilevel"/>
    <w:tmpl w:val="045F50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16394085"/>
    <w:multiLevelType w:val="multilevel"/>
    <w:tmpl w:val="1639408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u w:val="none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u w:val="none"/>
      </w:rPr>
    </w:lvl>
  </w:abstractNum>
  <w:abstractNum w:abstractNumId="2" w15:restartNumberingAfterBreak="0">
    <w:nsid w:val="3BFF6B98"/>
    <w:multiLevelType w:val="multilevel"/>
    <w:tmpl w:val="3BFF6B98"/>
    <w:lvl w:ilvl="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0AB"/>
    <w:rsid w:val="000A5636"/>
    <w:rsid w:val="000A6F0E"/>
    <w:rsid w:val="000D4F11"/>
    <w:rsid w:val="000D59E0"/>
    <w:rsid w:val="000E60E7"/>
    <w:rsid w:val="000F412C"/>
    <w:rsid w:val="00172A27"/>
    <w:rsid w:val="001D4878"/>
    <w:rsid w:val="001F2A20"/>
    <w:rsid w:val="00216305"/>
    <w:rsid w:val="00251A0B"/>
    <w:rsid w:val="00275486"/>
    <w:rsid w:val="00417CF4"/>
    <w:rsid w:val="00421F46"/>
    <w:rsid w:val="00551C5C"/>
    <w:rsid w:val="00571006"/>
    <w:rsid w:val="00586711"/>
    <w:rsid w:val="006A3FB9"/>
    <w:rsid w:val="00724AC2"/>
    <w:rsid w:val="007C7675"/>
    <w:rsid w:val="008448B2"/>
    <w:rsid w:val="008460DE"/>
    <w:rsid w:val="008B0265"/>
    <w:rsid w:val="009E0FF8"/>
    <w:rsid w:val="00A324BA"/>
    <w:rsid w:val="00AD124A"/>
    <w:rsid w:val="00B548C3"/>
    <w:rsid w:val="00C03C90"/>
    <w:rsid w:val="00C2558F"/>
    <w:rsid w:val="00C332E5"/>
    <w:rsid w:val="00D13822"/>
    <w:rsid w:val="00EE4665"/>
    <w:rsid w:val="00F125FE"/>
    <w:rsid w:val="00F54B6F"/>
    <w:rsid w:val="13F65326"/>
    <w:rsid w:val="4AB32A04"/>
    <w:rsid w:val="722576A6"/>
    <w:rsid w:val="7F41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C9C80-C0E3-40F4-8B27-8C6F2A91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 w:qFormat="1"/>
    <w:lsdException w:name="toc 2" w:locked="1" w:semiHidden="1" w:uiPriority="0" w:unhideWhenUsed="1" w:qFormat="1"/>
    <w:lsdException w:name="toc 3" w:locked="1" w:semiHidden="1" w:uiPriority="0" w:unhideWhenUsed="1" w:qFormat="1"/>
    <w:lsdException w:name="toc 4" w:locked="1" w:semiHidden="1" w:uiPriority="0" w:unhideWhenUsed="1" w:qFormat="1"/>
    <w:lsdException w:name="toc 5" w:locked="1" w:semiHidden="1" w:uiPriority="0" w:unhideWhenUsed="1" w:qFormat="1"/>
    <w:lsdException w:name="toc 6" w:locked="1" w:semiHidden="1" w:uiPriority="0" w:unhideWhenUsed="1" w:qFormat="1"/>
    <w:lsdException w:name="toc 7" w:locked="1" w:semiHidden="1" w:uiPriority="0" w:unhideWhenUsed="1" w:qFormat="1"/>
    <w:lsdException w:name="toc 8" w:locked="1" w:semiHidden="1" w:uiPriority="0" w:unhideWhenUsed="1" w:qFormat="1"/>
    <w:lsdException w:name="toc 9" w:locked="1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asci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rFonts w:cs="Times New Roman" w:hint="default"/>
      <w:sz w:val="24"/>
      <w:szCs w:val="24"/>
      <w:vertAlign w:val="superscript"/>
    </w:rPr>
  </w:style>
  <w:style w:type="character" w:styleId="a4">
    <w:name w:val="annotation reference"/>
    <w:basedOn w:val="a0"/>
    <w:uiPriority w:val="99"/>
    <w:unhideWhenUsed/>
    <w:rPr>
      <w:rFonts w:cs="Times New Roman" w:hint="default"/>
      <w:sz w:val="16"/>
      <w:szCs w:val="16"/>
    </w:rPr>
  </w:style>
  <w:style w:type="character" w:styleId="a5">
    <w:name w:val="page number"/>
    <w:basedOn w:val="a0"/>
    <w:uiPriority w:val="99"/>
    <w:unhideWhenUsed/>
    <w:qFormat/>
    <w:rPr>
      <w:rFonts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unhideWhenUsed/>
    <w:qFormat/>
    <w:rPr>
      <w:rFonts w:ascii="Tahoma" w:cs="Tahoma"/>
      <w:sz w:val="16"/>
      <w:szCs w:val="16"/>
      <w:lang w:eastAsia="en-US"/>
    </w:rPr>
  </w:style>
  <w:style w:type="paragraph" w:styleId="a8">
    <w:name w:val="annotation text"/>
    <w:basedOn w:val="a"/>
    <w:link w:val="a9"/>
    <w:uiPriority w:val="99"/>
    <w:unhideWhenUsed/>
    <w:qFormat/>
    <w:pPr>
      <w:spacing w:after="200" w:line="276" w:lineRule="auto"/>
    </w:pPr>
    <w:rPr>
      <w:lang w:eastAsia="en-US"/>
    </w:rPr>
  </w:style>
  <w:style w:type="paragraph" w:styleId="aa">
    <w:name w:val="annotation subject"/>
    <w:basedOn w:val="a8"/>
    <w:next w:val="a8"/>
    <w:link w:val="ab"/>
    <w:uiPriority w:val="99"/>
    <w:unhideWhenUsed/>
    <w:pPr>
      <w:spacing w:line="240" w:lineRule="auto"/>
    </w:pPr>
    <w:rPr>
      <w:b/>
    </w:rPr>
  </w:style>
  <w:style w:type="paragraph" w:styleId="ac">
    <w:name w:val="footnote text"/>
    <w:basedOn w:val="a"/>
    <w:link w:val="ad"/>
    <w:uiPriority w:val="99"/>
    <w:unhideWhenUsed/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uiPriority w:val="99"/>
    <w:unhideWhenUsed/>
    <w:qFormat/>
    <w:locked/>
    <w:pPr>
      <w:jc w:val="center"/>
    </w:pPr>
    <w:rPr>
      <w:b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table" w:styleId="af4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 Знак Знак Знак"/>
    <w:basedOn w:val="a"/>
    <w:uiPriority w:val="99"/>
    <w:unhideWhenUsed/>
    <w:pPr>
      <w:tabs>
        <w:tab w:val="left" w:pos="360"/>
      </w:tabs>
      <w:spacing w:after="160" w:line="240" w:lineRule="exact"/>
    </w:pPr>
    <w:rPr>
      <w:sz w:val="24"/>
      <w:szCs w:val="24"/>
      <w:lang w:val="en-US"/>
    </w:rPr>
  </w:style>
  <w:style w:type="paragraph" w:styleId="af5">
    <w:name w:val="List Paragraph"/>
    <w:basedOn w:val="a"/>
    <w:uiPriority w:val="99"/>
    <w:unhideWhenUsed/>
    <w:qFormat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unhideWhenUsed/>
    <w:locked/>
    <w:rPr>
      <w:rFonts w:ascii="Calibri" w:cs="Calibri" w:hint="default"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unhideWhenUsed/>
    <w:locked/>
    <w:rPr>
      <w:rFonts w:ascii="Tahoma" w:cs="Tahoma" w:hint="default"/>
      <w:sz w:val="16"/>
      <w:szCs w:val="16"/>
    </w:rPr>
  </w:style>
  <w:style w:type="character" w:customStyle="1" w:styleId="ab">
    <w:name w:val="Тема примечания Знак"/>
    <w:basedOn w:val="a9"/>
    <w:link w:val="aa"/>
    <w:uiPriority w:val="99"/>
    <w:unhideWhenUsed/>
    <w:locked/>
    <w:rPr>
      <w:rFonts w:ascii="Calibri" w:cs="Calibri" w:hint="default"/>
      <w:b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unhideWhenUsed/>
    <w:qFormat/>
    <w:locked/>
    <w:rPr>
      <w:rFonts w:eastAsia="Times New Roman" w:cs="Calibri" w:hint="default"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unhideWhenUsed/>
    <w:qFormat/>
    <w:locked/>
    <w:rPr>
      <w:rFonts w:cs="Times New Roman" w:hint="default"/>
      <w:b/>
      <w:color w:val="000000"/>
      <w:sz w:val="28"/>
      <w:szCs w:val="24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unhideWhenUsed/>
    <w:locked/>
    <w:rPr>
      <w:rFonts w:cs="Times New Roman" w:hint="default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unhideWhenUsed/>
    <w:locked/>
    <w:rPr>
      <w:rFonts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HolinaAI</dc:creator>
  <cp:lastModifiedBy>Грандашевская Мария Сергеевна</cp:lastModifiedBy>
  <cp:revision>19</cp:revision>
  <cp:lastPrinted>2024-03-29T12:58:00Z</cp:lastPrinted>
  <dcterms:created xsi:type="dcterms:W3CDTF">2023-08-15T13:22:00Z</dcterms:created>
  <dcterms:modified xsi:type="dcterms:W3CDTF">2024-03-29T12:59:00Z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3336DC5F3E7A4905B1BEB99C726D2F86</vt:lpwstr>
  </property>
</Properties>
</file>