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</w:tblGrid>
      <w:tr w:rsidR="00261EE9"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EE9" w:rsidRDefault="001D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261EE9" w:rsidRDefault="001D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Правлением Банка Глобус (АО)</w:t>
            </w:r>
          </w:p>
          <w:p w:rsidR="00261EE9" w:rsidRPr="000607CB" w:rsidRDefault="001D52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Протокол от </w:t>
            </w:r>
            <w:r w:rsidR="00060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10 </w:t>
            </w:r>
            <w:r w:rsidR="00060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августа 2023г. № 32</w:t>
            </w:r>
          </w:p>
          <w:p w:rsidR="00261EE9" w:rsidRDefault="001D528A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Председатель Правления</w:t>
            </w:r>
          </w:p>
          <w:p w:rsidR="00261EE9" w:rsidRDefault="001D528A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Банка Глобус (АО)</w:t>
            </w:r>
          </w:p>
          <w:p w:rsidR="00261EE9" w:rsidRDefault="001D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____________________/В.И. Прокопенко/</w:t>
            </w:r>
          </w:p>
        </w:tc>
      </w:tr>
    </w:tbl>
    <w:p w:rsidR="00261EE9" w:rsidRDefault="0026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1D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1EE9" w:rsidRDefault="001D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ЗАЩИТЕ ПРАВ И ИНТЕРЕСОВ КЛИЕНТОВ – </w:t>
      </w:r>
    </w:p>
    <w:p w:rsidR="00261EE9" w:rsidRDefault="001D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ПОЛУЧАТЕЛЕЙ ФИНАНСОВЫХ УСЛУГ, </w:t>
      </w:r>
    </w:p>
    <w:p w:rsidR="00261EE9" w:rsidRDefault="001D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ОКАЗЫВАЕМЫХ БАНКОМ ГЛОБУС </w:t>
      </w:r>
      <w:r>
        <w:rPr>
          <w:rFonts w:ascii="Times New Roman" w:hAnsi="Times New Roman" w:cs="Times New Roman"/>
          <w:b/>
          <w:sz w:val="24"/>
          <w:szCs w:val="24"/>
        </w:rPr>
        <w:t>(АО)</w:t>
      </w: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261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EE9" w:rsidRDefault="001D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Москва, 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61EE9" w:rsidRDefault="001D5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261EE9" w:rsidRDefault="001D528A">
      <w:pPr>
        <w:pStyle w:val="11"/>
        <w:tabs>
          <w:tab w:val="left" w:pos="440"/>
          <w:tab w:val="right" w:leader="dot" w:pos="10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TOC \o "1-3" \h \z \u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63945220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ОБЩИЕ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 ПОЛОЖЕНИЯ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_Toc63945220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261EE9" w:rsidRDefault="001D528A">
      <w:pPr>
        <w:pStyle w:val="11"/>
        <w:tabs>
          <w:tab w:val="left" w:pos="440"/>
          <w:tab w:val="right" w:leader="dot" w:pos="10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6394522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ОПРЕДЕЛЕНИЯ И СОКРАЩЕНИЯ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_Toc63945221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261EE9" w:rsidRDefault="001D528A">
      <w:pPr>
        <w:pStyle w:val="11"/>
        <w:tabs>
          <w:tab w:val="left" w:pos="440"/>
          <w:tab w:val="right" w:leader="dot" w:pos="10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6394522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3.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ПРА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ВИЛА ПРЕДОСТАВЛЕНИЯ ИНФОРМАЦИИ ПОЛУЧАТЕЛЮ ФИНАНСОВЫХ УСЛУГ</w:t>
        </w:r>
        <w:r>
          <w:rPr>
            <w:rFonts w:ascii="Times New Roman" w:hAnsi="Times New Roman" w:cs="Times New Roman"/>
            <w:sz w:val="24"/>
            <w:szCs w:val="24"/>
          </w:rPr>
          <w:tab/>
          <w:t>…………………………………………………………………………………………………………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_Toc63945222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261EE9" w:rsidRDefault="001D528A">
      <w:pPr>
        <w:pStyle w:val="11"/>
        <w:tabs>
          <w:tab w:val="left" w:pos="440"/>
          <w:tab w:val="right" w:leader="dot" w:pos="10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6394522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4.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ПРАВИЛА ВЗАИМОДЕЙСТВИЯ С ПОЛУ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ЧАТЕЛЯМИ ФИНАНСОВЫХ УСЛУГ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_Toc63945223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261EE9" w:rsidRDefault="001D528A">
      <w:pPr>
        <w:pStyle w:val="11"/>
        <w:tabs>
          <w:tab w:val="left" w:pos="440"/>
          <w:tab w:val="right" w:leader="dot" w:pos="10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6394522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ТРЕБОВАНИЯ К УПОЛНОМОЧЕННЫМ СОТРУДНИКАМ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_Toc63945224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261EE9" w:rsidRDefault="001D528A">
      <w:pPr>
        <w:pStyle w:val="11"/>
        <w:tabs>
          <w:tab w:val="left" w:pos="440"/>
          <w:tab w:val="right" w:leader="dot" w:pos="10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6394522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6.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ПОРЯДОК ПРОВЕДЕНИЯ ОБУЧЕНИЯ УПОЛНОМОЧЕННЫХ СОТРУДНИКОВ И ЕГО ФОРМЫ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_Toc63945225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261EE9" w:rsidRDefault="001D528A">
      <w:pPr>
        <w:pStyle w:val="11"/>
        <w:tabs>
          <w:tab w:val="left" w:pos="440"/>
          <w:tab w:val="right" w:leader="dot" w:pos="10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6394522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7.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ПОРЯДОК ПРОВЕДЕНИЯ ПРОВЕРКИ КВАЛИФИКАЦИИ УПОЛНОМОЧЕННЫХ СОТРУДНИКОВ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_Toc63945226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261EE9" w:rsidRDefault="001D528A">
      <w:pPr>
        <w:pStyle w:val="11"/>
        <w:tabs>
          <w:tab w:val="left" w:pos="440"/>
          <w:tab w:val="right" w:leader="dot" w:pos="10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6394522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8.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РАССМОТРЕНИЕ ОБРАЩЕНИЙ И ЖАЛОБ ПОЛУЧАТЕЛЕЙ ФИНАНСОВЫХ УСЛУГ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_Toc63945227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261EE9" w:rsidRDefault="001D528A">
      <w:pPr>
        <w:pStyle w:val="11"/>
        <w:tabs>
          <w:tab w:val="left" w:pos="440"/>
          <w:tab w:val="right" w:leader="dot" w:pos="10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6394522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9.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СПОСОБЫ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 ЗАЩИТЫ ПРАВ ПОЛУЧАТЕЛЕЙ ФИНАНСОВЫХ УСЛУГ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_Toc63945228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261EE9" w:rsidRDefault="001D528A">
      <w:pPr>
        <w:pStyle w:val="11"/>
        <w:tabs>
          <w:tab w:val="left" w:pos="660"/>
          <w:tab w:val="right" w:leader="dot" w:pos="10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6394522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10.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ФОРМЫ РЕАЛИЗАЦИИ ПРАВА ПОЛУЧАТЕЛЯ ФИНАНСОВЫХ УСЛУГ НА ДОСУДЕБНЫЙ (ВНЕСУДЕБНЫЙ) ПОРЯДОК РАЗРЕШЕНИЯ СПОРОВ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_Toc63945229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261EE9" w:rsidRDefault="001D528A">
      <w:pPr>
        <w:pStyle w:val="11"/>
        <w:tabs>
          <w:tab w:val="left" w:pos="660"/>
          <w:tab w:val="right" w:leader="dot" w:pos="10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63945230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11.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ЗАКЛЮЧИТЕЛЬНЫЕ ПОЛОЖЕНИЯ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_Toc63945230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261EE9" w:rsidRDefault="001D528A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Приложение № 1 </w:t>
      </w:r>
      <w:hyperlink w:anchor="_Toc63945231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Протокол тестирования сотрудника Банка Глобус (АО), осуществляющего непосредс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твенное взаимодействие с получателями финансовых услуг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_Toc63945231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261EE9" w:rsidRDefault="001D528A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Приложение № 2 </w:t>
      </w:r>
      <w:hyperlink w:anchor="_Toc63945232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Журнал проведения проверок квалификации сотрудников Банка Г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лобус (АО), осуществляющих непосредственное взаимодействие с получателями финансовых услуг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_Toc63945232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261EE9" w:rsidRDefault="001D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261EE9" w:rsidRDefault="001D528A">
      <w:pPr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</w:p>
    <w:p w:rsidR="00261EE9" w:rsidRDefault="001D528A">
      <w:pPr>
        <w:pStyle w:val="1"/>
        <w:rPr>
          <w:rFonts w:eastAsia="Times New Roman"/>
        </w:rPr>
      </w:pPr>
      <w:bookmarkStart w:id="0" w:name="_Toc483909477"/>
      <w:bookmarkStart w:id="1" w:name="_Toc63945220"/>
      <w:r>
        <w:lastRenderedPageBreak/>
        <w:t>ОБЩИЕ</w:t>
      </w:r>
      <w:r>
        <w:rPr>
          <w:rFonts w:eastAsia="Times New Roman"/>
        </w:rPr>
        <w:t xml:space="preserve"> </w:t>
      </w:r>
      <w:bookmarkEnd w:id="0"/>
      <w:r>
        <w:rPr>
          <w:rFonts w:eastAsia="Times New Roman"/>
        </w:rPr>
        <w:t>ПОЛОЖЕНИЯ</w:t>
      </w:r>
      <w:bookmarkEnd w:id="1"/>
    </w:p>
    <w:p w:rsidR="00261EE9" w:rsidRDefault="001D528A">
      <w:pPr>
        <w:pStyle w:val="af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астоящее Положение о защите прав и интересов клиентов – получателей финансовых </w:t>
      </w:r>
      <w:r>
        <w:rPr>
          <w:rFonts w:ascii="Times New Roman" w:eastAsia="Calibri" w:hAnsi="Times New Roman" w:cs="Times New Roman"/>
          <w:sz w:val="24"/>
          <w:szCs w:val="24"/>
        </w:rPr>
        <w:t>услуг, оказываемых Банком Глобус (АО) (далее – Положение), определяет: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основные принципы защиты прав и интересов клиентов – получателей финансовых услуг, которыми сотрудники Бан</w:t>
      </w:r>
      <w:r>
        <w:rPr>
          <w:rFonts w:ascii="Times New Roman" w:eastAsia="Times New Roman" w:hAnsi="Times New Roman" w:cs="Times New Roman"/>
          <w:sz w:val="24"/>
          <w:szCs w:val="20"/>
        </w:rPr>
        <w:t>ка Глобус (АО) (далее – Банк) должны руководствоваться, совершая финансовые операции за счет клиентов в рамках осуществления банковской деятельности и деятельности профессионального участника рынка ценных бумаг.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требования к сотрудникам Банка, осуществляющ</w:t>
      </w:r>
      <w:r>
        <w:rPr>
          <w:rFonts w:ascii="Times New Roman" w:eastAsia="Times New Roman" w:hAnsi="Times New Roman" w:cs="Times New Roman"/>
          <w:sz w:val="24"/>
          <w:szCs w:val="20"/>
        </w:rPr>
        <w:t>их непосредственное взаимодействие с получателями финансовых услуг;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порядок проведения обучения и его формы;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порядок проведения проверки квалификации сотрудников Банка, осуществляющих непосредственное взаимодействие с </w:t>
      </w:r>
      <w:r>
        <w:rPr>
          <w:rFonts w:ascii="Times New Roman" w:hAnsi="Times New Roman" w:cs="Times New Roman"/>
          <w:bCs/>
          <w:sz w:val="24"/>
          <w:szCs w:val="24"/>
        </w:rPr>
        <w:t>получателями финансовых услуг.</w:t>
      </w:r>
    </w:p>
    <w:p w:rsidR="00261EE9" w:rsidRDefault="001D528A">
      <w:pPr>
        <w:pStyle w:val="af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Настоящ</w:t>
      </w:r>
      <w:r>
        <w:rPr>
          <w:rFonts w:ascii="Times New Roman" w:eastAsia="Times New Roman" w:hAnsi="Times New Roman" w:cs="Times New Roman"/>
          <w:sz w:val="24"/>
          <w:szCs w:val="20"/>
        </w:rPr>
        <w:t>ее Положение применяется в целях: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обеспечения соблюдения прав и законных интересов получателей финансовых услуг, обратившихся в Банк;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предупреждения недобросовестных практик взаимодействия Банка с получателями финансовых услуг;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повышения информационной </w:t>
      </w:r>
      <w:r>
        <w:rPr>
          <w:rFonts w:ascii="Times New Roman" w:eastAsia="Times New Roman" w:hAnsi="Times New Roman" w:cs="Times New Roman"/>
          <w:sz w:val="24"/>
          <w:szCs w:val="20"/>
        </w:rPr>
        <w:t>открытости рынка финансовых услуг в Российской Федерации, а также повышения уровня финансовой грамотности и информированности получателей финансовых услуг о деятельности Банка;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повышения качества финансовых услуг, оказываемых Банком, а также создания услов</w:t>
      </w:r>
      <w:r>
        <w:rPr>
          <w:rFonts w:ascii="Times New Roman" w:eastAsia="Times New Roman" w:hAnsi="Times New Roman" w:cs="Times New Roman"/>
          <w:sz w:val="24"/>
          <w:szCs w:val="20"/>
        </w:rPr>
        <w:t>ий для эффективного осуществления контролирующими органами контроля за деятельностью Банка.</w:t>
      </w:r>
    </w:p>
    <w:p w:rsidR="00261EE9" w:rsidRDefault="001D528A">
      <w:pPr>
        <w:pStyle w:val="af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167592532"/>
      <w:bookmarkStart w:id="3" w:name="_Toc226534277"/>
      <w:bookmarkStart w:id="4" w:name="_Toc167099378"/>
      <w:bookmarkStart w:id="5" w:name="_Toc167269580"/>
      <w:bookmarkStart w:id="6" w:name="_Toc190170319"/>
      <w:bookmarkStart w:id="7" w:name="_Toc167176259"/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с:</w:t>
      </w:r>
      <w:bookmarkEnd w:id="2"/>
      <w:bookmarkEnd w:id="3"/>
      <w:bookmarkEnd w:id="4"/>
      <w:bookmarkEnd w:id="5"/>
      <w:bookmarkEnd w:id="6"/>
      <w:bookmarkEnd w:id="7"/>
    </w:p>
    <w:p w:rsidR="00261EE9" w:rsidRDefault="001D528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Toc158201287"/>
      <w:bookmarkStart w:id="9" w:name="_Toc162756525"/>
      <w:bookmarkStart w:id="10" w:name="_Toc157933018"/>
      <w:bookmarkStart w:id="11" w:name="_Toc158192848"/>
      <w:bookmarkStart w:id="12" w:name="_Toc158201740"/>
      <w:bookmarkStart w:id="13" w:name="_Toc162757197"/>
      <w:bookmarkStart w:id="14" w:name="_Toc162757254"/>
      <w:bookmarkStart w:id="15" w:name="_Toc162757287"/>
      <w:bookmarkStart w:id="16" w:name="_Toc157305705"/>
      <w:bookmarkStart w:id="17" w:name="_Toc157823486"/>
      <w:bookmarkStart w:id="18" w:name="_Toc190170320"/>
      <w:bookmarkStart w:id="19" w:name="_Toc162759009"/>
      <w:bookmarkStart w:id="20" w:name="_Toc162757310"/>
      <w:r>
        <w:rPr>
          <w:rFonts w:ascii="Times New Roman" w:eastAsia="Calibri" w:hAnsi="Times New Roman" w:cs="Times New Roman"/>
          <w:sz w:val="24"/>
          <w:szCs w:val="24"/>
        </w:rPr>
        <w:t>Базовым стандартом защиты прав и интересов физических и юридических лиц - получателей финансовых услуг, оказываемы</w:t>
      </w:r>
      <w:r>
        <w:rPr>
          <w:rFonts w:ascii="Times New Roman" w:eastAsia="Calibri" w:hAnsi="Times New Roman" w:cs="Times New Roman"/>
          <w:sz w:val="24"/>
          <w:szCs w:val="24"/>
        </w:rPr>
        <w:t>х членами саморегулируемых организаций в сфере финансового рынка, объединяющих брокеров (в новой редакции) (утвержден Банком России, протокол № КФНП-49 от 29.12.2022) (далее – Базовый стандарт);</w:t>
      </w:r>
    </w:p>
    <w:p w:rsidR="00261EE9" w:rsidRDefault="001D528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Регламентом оказания брокерских услуг на рынке ценных бумаг 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анка Глобус (АО)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Times New Roman" w:eastAsia="Calibri" w:hAnsi="Times New Roman" w:cs="Times New Roman"/>
          <w:sz w:val="24"/>
          <w:szCs w:val="24"/>
        </w:rPr>
        <w:t>(далее – Регламент).</w:t>
      </w:r>
    </w:p>
    <w:p w:rsidR="00261EE9" w:rsidRDefault="001D528A">
      <w:pPr>
        <w:pStyle w:val="1"/>
      </w:pPr>
      <w:bookmarkStart w:id="21" w:name="_Toc63945221"/>
      <w:r>
        <w:t>ОПРЕДЕЛЕНИЯ И СОКРАЩЕНИЯ</w:t>
      </w:r>
      <w:bookmarkEnd w:id="21"/>
    </w:p>
    <w:p w:rsidR="00261EE9" w:rsidRDefault="001D52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настоящем Положении использованы следующие определения и сокращения (приведены в алфавитном порядке):</w:t>
      </w:r>
    </w:p>
    <w:p w:rsidR="00261EE9" w:rsidRDefault="001D528A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Банк</w:t>
      </w:r>
      <w:r>
        <w:rPr>
          <w:bCs/>
          <w:color w:val="auto"/>
        </w:rPr>
        <w:t xml:space="preserve"> – </w:t>
      </w:r>
      <w:r>
        <w:rPr>
          <w:rFonts w:eastAsia="Times New Roman"/>
          <w:shd w:val="clear" w:color="auto" w:fill="FFFFFF"/>
        </w:rPr>
        <w:t xml:space="preserve">«Банк Глобус» (Акционерное общество), </w:t>
      </w:r>
      <w:r>
        <w:rPr>
          <w:bCs/>
          <w:color w:val="auto"/>
        </w:rPr>
        <w:t>Банк Глобус (АО), брокер, член СРО НАУФОР.</w:t>
      </w:r>
    </w:p>
    <w:p w:rsidR="00261EE9" w:rsidRDefault="001D528A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Договор о брокерском обслуживании</w:t>
      </w:r>
      <w:r>
        <w:rPr>
          <w:bCs/>
          <w:color w:val="auto"/>
        </w:rPr>
        <w:t xml:space="preserve"> – возмездный договор, заключаемый между Банком и получателем финансовых услуг, в рамках которого Банк обязуется исполнять поручения Клиента на совершение гражданско-правовых сделок с ценными бумагами.</w:t>
      </w:r>
    </w:p>
    <w:p w:rsidR="00261EE9" w:rsidRDefault="001D528A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Жалоба</w:t>
      </w:r>
      <w:r>
        <w:rPr>
          <w:bCs/>
          <w:color w:val="auto"/>
        </w:rPr>
        <w:t xml:space="preserve"> – просьба полу</w:t>
      </w:r>
      <w:r>
        <w:rPr>
          <w:bCs/>
          <w:color w:val="auto"/>
        </w:rPr>
        <w:t>чателя финансовых услуг о восстановлении или защите его прав и интересов, нарушенных Банком.</w:t>
      </w:r>
    </w:p>
    <w:p w:rsidR="00261EE9" w:rsidRDefault="001D528A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Клиент</w:t>
      </w:r>
      <w:r>
        <w:rPr>
          <w:bCs/>
          <w:color w:val="auto"/>
        </w:rPr>
        <w:t xml:space="preserve"> – юридическое или физическое лицо, заключившее с брокером Договор о брокерском обслуживании.</w:t>
      </w:r>
    </w:p>
    <w:p w:rsidR="00261EE9" w:rsidRDefault="001D528A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Контролер ПУРЦБ</w:t>
      </w:r>
      <w:r>
        <w:rPr>
          <w:bCs/>
          <w:color w:val="auto"/>
        </w:rPr>
        <w:t xml:space="preserve"> – контролер профессионального участника рынка ц</w:t>
      </w:r>
      <w:r>
        <w:rPr>
          <w:bCs/>
          <w:color w:val="auto"/>
        </w:rPr>
        <w:t>енных бумаг.</w:t>
      </w:r>
    </w:p>
    <w:p w:rsidR="00261EE9" w:rsidRDefault="001D528A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Место обслуживания получателей финансовых услуг</w:t>
      </w:r>
      <w:r>
        <w:rPr>
          <w:bCs/>
          <w:color w:val="auto"/>
        </w:rPr>
        <w:t xml:space="preserve"> – место, предназначенное для заключения договоров о брокерском обслуживании, оказания финансовых услуг, приема документов, связанных с оказанием финансовых услуг, в том числе офис Банка и (или) О</w:t>
      </w:r>
      <w:r>
        <w:rPr>
          <w:bCs/>
          <w:color w:val="auto"/>
        </w:rPr>
        <w:t xml:space="preserve">сновной </w:t>
      </w:r>
      <w:r>
        <w:rPr>
          <w:b/>
          <w:bCs/>
          <w:color w:val="auto"/>
          <w:lang w:val="en-US"/>
        </w:rPr>
        <w:t>web</w:t>
      </w:r>
      <w:r>
        <w:rPr>
          <w:b/>
          <w:bCs/>
          <w:color w:val="auto"/>
        </w:rPr>
        <w:t>-сайт</w:t>
      </w:r>
      <w:r>
        <w:rPr>
          <w:bCs/>
          <w:color w:val="auto"/>
        </w:rPr>
        <w:t xml:space="preserve"> Банка в информационно-телекоммуникационной сети «Интернет» (далее – сеть «Интернет»).</w:t>
      </w:r>
    </w:p>
    <w:p w:rsidR="00261EE9" w:rsidRDefault="001D528A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Обращение</w:t>
      </w:r>
      <w:r>
        <w:rPr>
          <w:bCs/>
          <w:color w:val="auto"/>
        </w:rPr>
        <w:t xml:space="preserve"> – направленная получателем финансовых услуг Банку просьба, предложение либо заявление, касающееся оказания финансовой услуги, но не являющееся </w:t>
      </w:r>
      <w:r>
        <w:rPr>
          <w:bCs/>
          <w:color w:val="auto"/>
        </w:rPr>
        <w:t>жалобой.</w:t>
      </w:r>
    </w:p>
    <w:p w:rsidR="00261EE9" w:rsidRDefault="001D5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</w:rPr>
        <w:t xml:space="preserve">Основной 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val="en-US"/>
        </w:rPr>
        <w:t>web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</w:rPr>
        <w:t>-сайт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</w:rPr>
        <w:t xml:space="preserve"> – корпоративный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</w:rPr>
        <w:t xml:space="preserve">сайт Банка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</w:rPr>
        <w:t>в информационно-телекоммуникационной сети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</w:rPr>
        <w:lastRenderedPageBreak/>
        <w:t xml:space="preserve">«Интернет» по адресу </w:t>
      </w:r>
      <w:hyperlink r:id="rId8" w:history="1">
        <w:r>
          <w:rPr>
            <w:rFonts w:ascii="Times New Roman" w:eastAsia="Lucida Sans Unicode" w:hAnsi="Times New Roman" w:cs="Times New Roman"/>
            <w:bCs/>
            <w:color w:val="0000FF"/>
            <w:kern w:val="3"/>
            <w:sz w:val="24"/>
            <w:szCs w:val="24"/>
            <w:u w:val="single"/>
            <w:lang w:val="en-US"/>
          </w:rPr>
          <w:t>www</w:t>
        </w:r>
        <w:r>
          <w:rPr>
            <w:rFonts w:ascii="Times New Roman" w:eastAsia="Lucida Sans Unicode" w:hAnsi="Times New Roman" w:cs="Times New Roman"/>
            <w:bCs/>
            <w:color w:val="0000FF"/>
            <w:kern w:val="3"/>
            <w:sz w:val="24"/>
            <w:szCs w:val="24"/>
            <w:u w:val="single"/>
          </w:rPr>
          <w:t>.</w:t>
        </w:r>
        <w:r>
          <w:rPr>
            <w:rFonts w:ascii="Times New Roman" w:eastAsia="Lucida Sans Unicode" w:hAnsi="Times New Roman" w:cs="Times New Roman"/>
            <w:bCs/>
            <w:color w:val="0000FF"/>
            <w:kern w:val="3"/>
            <w:sz w:val="24"/>
            <w:szCs w:val="24"/>
            <w:u w:val="single"/>
            <w:lang w:val="en-US"/>
          </w:rPr>
          <w:t>bankglobus</w:t>
        </w:r>
        <w:r>
          <w:rPr>
            <w:rFonts w:ascii="Times New Roman" w:eastAsia="Lucida Sans Unicode" w:hAnsi="Times New Roman" w:cs="Times New Roman"/>
            <w:bCs/>
            <w:color w:val="0000FF"/>
            <w:kern w:val="3"/>
            <w:sz w:val="24"/>
            <w:szCs w:val="24"/>
            <w:u w:val="single"/>
          </w:rPr>
          <w:t>.</w:t>
        </w:r>
        <w:r>
          <w:rPr>
            <w:rFonts w:ascii="Times New Roman" w:eastAsia="Lucida Sans Unicode" w:hAnsi="Times New Roman" w:cs="Times New Roman"/>
            <w:bCs/>
            <w:color w:val="0000FF"/>
            <w:kern w:val="3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</w:rPr>
        <w:t>.</w:t>
      </w:r>
    </w:p>
    <w:p w:rsidR="00261EE9" w:rsidRDefault="001D528A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Получатель финансовых услуг (ПФУ)</w:t>
      </w:r>
      <w:r>
        <w:rPr>
          <w:bCs/>
          <w:color w:val="auto"/>
        </w:rPr>
        <w:t xml:space="preserve"> – Клиент, а также юридическое или физическое лицо, намеренное заключить договор о брокерском обслуживании.</w:t>
      </w:r>
    </w:p>
    <w:p w:rsidR="00261EE9" w:rsidRDefault="001D528A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СРО НАУФОР</w:t>
      </w:r>
      <w:r>
        <w:rPr>
          <w:bCs/>
          <w:color w:val="auto"/>
        </w:rPr>
        <w:t xml:space="preserve"> – саморегулируемая организация в сфере финансового рынка НАЦИОНАЛЬНАЯ </w:t>
      </w:r>
      <w:bookmarkStart w:id="22" w:name="_GoBack"/>
      <w:bookmarkEnd w:id="22"/>
      <w:r>
        <w:rPr>
          <w:bCs/>
          <w:color w:val="auto"/>
        </w:rPr>
        <w:t xml:space="preserve">АССОЦИАЦИЯ </w:t>
      </w:r>
      <w:r>
        <w:rPr>
          <w:bCs/>
          <w:color w:val="auto"/>
        </w:rPr>
        <w:t>УЧАСТНИКОВ ФОНДОВОГО РЫНКА.</w:t>
      </w:r>
    </w:p>
    <w:p w:rsidR="00261EE9" w:rsidRDefault="001D528A">
      <w:pPr>
        <w:pStyle w:val="Default"/>
        <w:jc w:val="both"/>
        <w:rPr>
          <w:bCs/>
        </w:rPr>
      </w:pPr>
      <w:r>
        <w:rPr>
          <w:b/>
          <w:bCs/>
        </w:rPr>
        <w:t xml:space="preserve">СЭД «1С:Документооборот» </w:t>
      </w:r>
      <w:r>
        <w:rPr>
          <w:b/>
          <w:bCs/>
        </w:rPr>
        <w:t>(1С)</w:t>
      </w:r>
      <w:r>
        <w:rPr>
          <w:bCs/>
        </w:rPr>
        <w:t xml:space="preserve"> – система электронного документооборота «1С:Документооборот».</w:t>
      </w:r>
    </w:p>
    <w:p w:rsidR="00261EE9" w:rsidRDefault="001D528A">
      <w:pPr>
        <w:pStyle w:val="Default"/>
        <w:jc w:val="both"/>
        <w:rPr>
          <w:b/>
          <w:bCs/>
          <w:color w:val="auto"/>
        </w:rPr>
      </w:pPr>
      <w:r>
        <w:rPr>
          <w:b/>
          <w:bCs/>
        </w:rPr>
        <w:t>Тестирование</w:t>
      </w:r>
      <w:r>
        <w:rPr>
          <w:bCs/>
        </w:rPr>
        <w:t xml:space="preserve"> – тестирование физического лица, не являющегося квалифицированным инвестором, введенное Федеральным законом от 31.07.2020 № 306-ФЗ «О внесении изменений в Федеральный закон «О рынке ценных бумаг» и отдельные законодательные акты Российской Федерации».</w:t>
      </w:r>
    </w:p>
    <w:p w:rsidR="00261EE9" w:rsidRDefault="001D528A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Упо</w:t>
      </w:r>
      <w:r>
        <w:rPr>
          <w:b/>
          <w:bCs/>
          <w:color w:val="auto"/>
        </w:rPr>
        <w:t>лномоченный сотрудник</w:t>
      </w:r>
      <w:r>
        <w:rPr>
          <w:bCs/>
          <w:color w:val="auto"/>
        </w:rPr>
        <w:t xml:space="preserve"> – сотрудник подразделения Банка, осуществляющий непосредственное взаимодействие с получателем финансовых услуг и указанный в пункте 5.2. настоящего Положения.</w:t>
      </w:r>
    </w:p>
    <w:p w:rsidR="00261EE9" w:rsidRDefault="001D528A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Финансовая услуга</w:t>
      </w:r>
      <w:r>
        <w:rPr>
          <w:bCs/>
          <w:color w:val="auto"/>
        </w:rPr>
        <w:t xml:space="preserve"> – исполнение поручения Клиента на совершение гражданско-п</w:t>
      </w:r>
      <w:r>
        <w:rPr>
          <w:bCs/>
          <w:color w:val="auto"/>
        </w:rPr>
        <w:t>равовых сделок с ценными бумагами.</w:t>
      </w:r>
    </w:p>
    <w:p w:rsidR="00261EE9" w:rsidRDefault="001D528A">
      <w:pPr>
        <w:pStyle w:val="1"/>
      </w:pPr>
      <w:bookmarkStart w:id="23" w:name="_Toc63945222"/>
      <w:r>
        <w:t>ПРАВИЛА ПРЕДОСТАВЛЕНИЯ ИНФОРМАЦИИ ПОЛУЧАТЕЛЮ ФИНАНСОВЫХ УСЛУГ</w:t>
      </w:r>
      <w:bookmarkEnd w:id="23"/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В местах обслуживания получателей финансовых услуг (в том числе посредством размещения гиперссылок на Основном </w:t>
      </w:r>
      <w:r>
        <w:rPr>
          <w:bCs/>
          <w:color w:val="auto"/>
          <w:lang w:val="en-US"/>
        </w:rPr>
        <w:t>web</w:t>
      </w:r>
      <w:r>
        <w:rPr>
          <w:bCs/>
          <w:color w:val="auto"/>
        </w:rPr>
        <w:t>-сайте Банка в сети «Интернет») Банк предоста</w:t>
      </w:r>
      <w:r>
        <w:rPr>
          <w:bCs/>
          <w:color w:val="auto"/>
        </w:rPr>
        <w:t>вляет ПФУ для ознакомления следующий минимальный объем информации:</w:t>
      </w:r>
    </w:p>
    <w:p w:rsidR="00261EE9" w:rsidRDefault="001D528A">
      <w:pPr>
        <w:pStyle w:val="af5"/>
        <w:numPr>
          <w:ilvl w:val="0"/>
          <w:numId w:val="3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полном и сокращенном (при наличии) фирменном наименовании Банка в соответствии со сведениями, указанными в едином государственном реестре юридических лиц и в уставе Банка, а также изображ</w:t>
      </w:r>
      <w:r>
        <w:rPr>
          <w:rFonts w:ascii="Times New Roman" w:eastAsia="Times New Roman" w:hAnsi="Times New Roman" w:cs="Times New Roman"/>
          <w:sz w:val="24"/>
          <w:szCs w:val="20"/>
        </w:rPr>
        <w:t>ение знака обслуживания (при наличии);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об адресе Банка, адресах офисов Банка, адресе электронной почты и контактном телефоне, адресе официального сайта Банка в сети «Интернет»;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лицензии на осуществление брокерской деятельности, включая номер, дату выдачи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и срок действия лицензии;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об органе, выдавшем лицензию на осуществление брокерской деятельности (его наименование, адрес и телефон);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членстве в саморегулируемой организации, с указанием наименования такой саморегулируемой организации, адресе сайта самор</w:t>
      </w:r>
      <w:r>
        <w:rPr>
          <w:rFonts w:ascii="Times New Roman" w:eastAsia="Times New Roman" w:hAnsi="Times New Roman" w:cs="Times New Roman"/>
          <w:sz w:val="24"/>
          <w:szCs w:val="20"/>
        </w:rPr>
        <w:t>егулируемой организации в сети «Интернет» и о ее стандартах по защите прав и интересов ПФУ;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финансовых услугах, оказываемых на основании Договора о брокерском обслуживании и дополнительных услугах Банка, в том числе оказываемых Банком за дополнительную п</w:t>
      </w:r>
      <w:r>
        <w:rPr>
          <w:rFonts w:ascii="Times New Roman" w:eastAsia="Times New Roman" w:hAnsi="Times New Roman" w:cs="Times New Roman"/>
          <w:sz w:val="24"/>
          <w:szCs w:val="20"/>
        </w:rPr>
        <w:t>лату;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об органе, осуществляющем полномочия по контролю и надзору за деятельностью Банка;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порядке получения Финансовой услуги, в том числе документах, которые должны быть предоставлены ПФУ для ее получения;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способах и адресах направления Обращений (Жало</w:t>
      </w:r>
      <w:r>
        <w:rPr>
          <w:rFonts w:ascii="Times New Roman" w:eastAsia="Times New Roman" w:hAnsi="Times New Roman" w:cs="Times New Roman"/>
          <w:sz w:val="24"/>
          <w:szCs w:val="20"/>
        </w:rPr>
        <w:t>б) Банку, в саморегулируемую организацию, в орган, осуществляющий полномочия по контролю и надзору за профессиональной деятельностью Банка;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способах защиты прав ПФУ, включая информацию о наличии возможности и способах досудебного или внесудебного урегули</w:t>
      </w:r>
      <w:r>
        <w:rPr>
          <w:rFonts w:ascii="Times New Roman" w:eastAsia="Times New Roman" w:hAnsi="Times New Roman" w:cs="Times New Roman"/>
          <w:sz w:val="24"/>
          <w:szCs w:val="20"/>
        </w:rPr>
        <w:t>рования спора, в том числе о претензионном порядке урегулирования спора, процедуре медиации (при их наличии);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способах и порядке изменения условий Договора о брокерском обслуживании, в том числе в результате внесения Банком, как брокером, изменений во вн</w:t>
      </w:r>
      <w:r>
        <w:rPr>
          <w:rFonts w:ascii="Times New Roman" w:eastAsia="Times New Roman" w:hAnsi="Times New Roman" w:cs="Times New Roman"/>
          <w:sz w:val="24"/>
          <w:szCs w:val="20"/>
        </w:rPr>
        <w:t>утренние документы, ссылка на которые содержится в Договоре.</w:t>
      </w:r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В целях обеспечения надлежащего информирования ПФУ о возможных рисках Банк, до заключения Договора о брокерском обслуживании, доводит до сведения получателей финансовых услуг информацию о том, чт</w:t>
      </w:r>
      <w:r>
        <w:rPr>
          <w:bCs/>
          <w:color w:val="auto"/>
        </w:rPr>
        <w:t>о: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оказываемые брокером финансовые услуги не являются услугами по открытию банковских счетов и приему вкладов;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денежные средства, передаваемые по Договору о брокерском обслуживании, не подлежат страхованию в соответствии с Федеральным законом от 23.12.2003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№ 177-ФЗ «О страховании вкладов в банках Российской Федерации».</w:t>
      </w:r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До заключения Договора о брокерском обслуживании брокер уведомляет ПФУ о рисках, связанных с заключением и исполнением и прекращением Договора о брокерском обслуживании. Информирование ПФУ об</w:t>
      </w:r>
      <w:r>
        <w:rPr>
          <w:bCs/>
          <w:color w:val="auto"/>
        </w:rPr>
        <w:t xml:space="preserve"> указанных рисках осуществляется путем предоставления ему декларации о рисках.</w:t>
      </w:r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Декларации о рисках составляются брокером и предоставляются ПФУ в той же форме, в которой получатель ПФУ заключает Договор о брокерском обслуживании (в том числе на бумажном нос</w:t>
      </w:r>
      <w:r>
        <w:rPr>
          <w:bCs/>
          <w:color w:val="auto"/>
        </w:rPr>
        <w:t>ителе или в форме электронного документа).</w:t>
      </w:r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</w:pPr>
      <w:r>
        <w:rPr>
          <w:bCs/>
          <w:color w:val="auto"/>
        </w:rPr>
        <w:t xml:space="preserve">Действующие Декларации о рисках размещаются на Основном </w:t>
      </w:r>
      <w:r>
        <w:rPr>
          <w:bCs/>
          <w:color w:val="auto"/>
          <w:lang w:val="en-US"/>
        </w:rPr>
        <w:t>web</w:t>
      </w:r>
      <w:r>
        <w:rPr>
          <w:bCs/>
          <w:color w:val="auto"/>
        </w:rPr>
        <w:t>-сайте Банка в составе Регламента.</w:t>
      </w:r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</w:pPr>
      <w:r>
        <w:rPr>
          <w:bCs/>
          <w:color w:val="auto"/>
        </w:rPr>
        <w:t>Брокер обеспечивает хранение в течение трех лет документов, подтверждающих предоставление ПФУ информации о рисках на бу</w:t>
      </w:r>
      <w:r>
        <w:rPr>
          <w:bCs/>
          <w:color w:val="auto"/>
        </w:rPr>
        <w:t>мажном носителе или в форме электронного документа.</w:t>
      </w:r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</w:pPr>
      <w:r>
        <w:rPr>
          <w:bCs/>
          <w:color w:val="auto"/>
        </w:rPr>
        <w:t>Если в Договоре о брокерском обслуживании содержится ссылка на внутренние документы брокера, ПФУ при заключении Договора о брокерском обслуживании, а также в случае внесения изменений в такие внутренние д</w:t>
      </w:r>
      <w:r>
        <w:rPr>
          <w:bCs/>
          <w:color w:val="auto"/>
        </w:rPr>
        <w:t>окументы должна быть предоставлена возможность ознакомиться с ними.</w:t>
      </w:r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ПФУ имеет право на получение по его запросу информации: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видах и суммах платежей (порядке определения сумм платежей), которые ПФУ должен будет уплатить за предоставление ему финансовой ус</w:t>
      </w:r>
      <w:r>
        <w:rPr>
          <w:rFonts w:ascii="Times New Roman" w:eastAsia="Times New Roman" w:hAnsi="Times New Roman" w:cs="Times New Roman"/>
          <w:sz w:val="24"/>
          <w:szCs w:val="20"/>
        </w:rPr>
        <w:t>луги, включая информацию о размере вознаграждения (порядке определения размера вознаграждения) брокера и порядке его уплаты;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информацию, связанную с оказанием Финансовой услуги, включая информацию, указанную в пункте 3.1 настоящего Положения, а также докум</w:t>
      </w:r>
      <w:r>
        <w:rPr>
          <w:rFonts w:ascii="Times New Roman" w:eastAsia="Times New Roman" w:hAnsi="Times New Roman" w:cs="Times New Roman"/>
          <w:sz w:val="24"/>
          <w:szCs w:val="20"/>
        </w:rPr>
        <w:t>енты и их копии, содержащие указанную информацию, способом, которым был направлен такой запрос.</w:t>
      </w:r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</w:pPr>
      <w:r>
        <w:t xml:space="preserve">Порядок и сроки предоставления информации ПФУ отражен в Регламенте и размещен на Основном </w:t>
      </w:r>
      <w:r>
        <w:rPr>
          <w:lang w:val="en-US"/>
        </w:rPr>
        <w:t>web</w:t>
      </w:r>
      <w:r>
        <w:t>-сайте Банка.</w:t>
      </w:r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</w:pPr>
      <w:r>
        <w:rPr>
          <w:bCs/>
          <w:color w:val="auto"/>
        </w:rPr>
        <w:t xml:space="preserve">Информация, размещенная на Основном </w:t>
      </w:r>
      <w:r>
        <w:rPr>
          <w:bCs/>
          <w:color w:val="auto"/>
          <w:lang w:val="en-US"/>
        </w:rPr>
        <w:t>web</w:t>
      </w:r>
      <w:r>
        <w:rPr>
          <w:bCs/>
          <w:color w:val="auto"/>
        </w:rPr>
        <w:t xml:space="preserve">-сайте Банка, является круглосуточно и бесплатно доступной ПФУ для ознакомления и использования, за исключением времени проведения профилактических работ, во время которых Основной </w:t>
      </w:r>
      <w:r>
        <w:rPr>
          <w:bCs/>
          <w:color w:val="auto"/>
          <w:lang w:val="en-US"/>
        </w:rPr>
        <w:t>web</w:t>
      </w:r>
      <w:r>
        <w:rPr>
          <w:bCs/>
          <w:color w:val="auto"/>
        </w:rPr>
        <w:t>-сайт Банка не доступен для посещения.</w:t>
      </w:r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</w:pPr>
      <w:r>
        <w:rPr>
          <w:bCs/>
          <w:color w:val="auto"/>
        </w:rPr>
        <w:t>Информация для ПФУ предоставляетс</w:t>
      </w:r>
      <w:r>
        <w:rPr>
          <w:bCs/>
          <w:color w:val="auto"/>
        </w:rPr>
        <w:t>я: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на равных правах и в равном объеме, с соблюдением требований федеральных законов и принятых в соответствии с ними нормативных актов;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на русском языке в доступной форме (с использованием удобочитаемых шрифтов, форматов) с разъяснением специальных термино</w:t>
      </w:r>
      <w:r>
        <w:rPr>
          <w:rFonts w:ascii="Times New Roman" w:eastAsia="Times New Roman" w:hAnsi="Times New Roman" w:cs="Times New Roman"/>
          <w:sz w:val="24"/>
          <w:szCs w:val="20"/>
        </w:rPr>
        <w:t>в (в случае их наличия), значения которых не определены в федеральных законах и принятых в соответствии с ними нормативных актах.</w:t>
      </w:r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</w:pPr>
      <w:r>
        <w:t>Распространение информации Банком как профессиональным участником и третьим лицом, действующим по поручению Банка, от его имен</w:t>
      </w:r>
      <w:r>
        <w:t>и и за его счет, в том числе реклама услуг, реализуется на принципах добросовестности, достоверности и полноты сообщаемых сведений.</w:t>
      </w:r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</w:pPr>
      <w:r>
        <w:t>Не допускается предоставление информации, которая вводит ПФУ в заблуждение относительно предмета заключаемого с ним Договора</w:t>
      </w:r>
      <w:r>
        <w:t xml:space="preserve"> о брокерском обслуживании, а также информации, которая может повлечь неоднозначное толкование свойств Финансовой услуги.</w:t>
      </w:r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Документы, содержащие информацию об иностранных финансовых инструментах, в том числе включающие описание прав, предоставляемых (закреп</w:t>
      </w:r>
      <w:r>
        <w:rPr>
          <w:bCs/>
          <w:color w:val="auto"/>
        </w:rPr>
        <w:t>ляемых, удостоверяемых) такими иностранными финансовыми инструментами, по решению Банка как профессионального участника предоставляются на используемом на финансовом рынке иностранном языке без перевода на русский язык, за исключением случаев, когда законо</w:t>
      </w:r>
      <w:r>
        <w:rPr>
          <w:bCs/>
          <w:color w:val="auto"/>
        </w:rPr>
        <w:t>дательством Российской Федерации установлено требование о предоставлении таких документов с переводом на русский язык.</w:t>
      </w:r>
    </w:p>
    <w:p w:rsidR="00261EE9" w:rsidRDefault="001D528A">
      <w:pPr>
        <w:pStyle w:val="Default"/>
        <w:numPr>
          <w:ilvl w:val="0"/>
          <w:numId w:val="5"/>
        </w:numPr>
        <w:ind w:left="0" w:firstLine="709"/>
        <w:jc w:val="both"/>
      </w:pPr>
      <w:r>
        <w:rPr>
          <w:bCs/>
          <w:color w:val="auto"/>
        </w:rPr>
        <w:t>В случае предоставления информации на бумажном носителе, брокер руководствуется санитарными правилами и нормативами, предъявляемыми к кни</w:t>
      </w:r>
      <w:r>
        <w:rPr>
          <w:bCs/>
          <w:color w:val="auto"/>
        </w:rPr>
        <w:t>жным изданиям для взрослых.</w:t>
      </w:r>
    </w:p>
    <w:p w:rsidR="00261EE9" w:rsidRDefault="001D528A">
      <w:pPr>
        <w:pStyle w:val="1"/>
      </w:pPr>
      <w:bookmarkStart w:id="24" w:name="_Toc63945223"/>
      <w:r>
        <w:t>ПРАВИЛА ВЗАИМОДЕЙСТВИЯ С ПОЛУЧАТЕЛЯМИ ФИНАНСОВЫХ УСЛУГ</w:t>
      </w:r>
      <w:bookmarkEnd w:id="24"/>
    </w:p>
    <w:p w:rsidR="00261EE9" w:rsidRDefault="001D528A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Установление личности (аутентификации) ПФУ в случае обмена информацией между Банком, действующим в качестве профессионального участника, и ПФУ посредством телефонной связи, </w:t>
      </w:r>
      <w:r>
        <w:rPr>
          <w:bCs/>
          <w:color w:val="auto"/>
        </w:rPr>
        <w:t>обмена электронными документами или иных каналов связи осуществляется способами, предусмотренными Регламентом.</w:t>
      </w:r>
    </w:p>
    <w:p w:rsidR="00261EE9" w:rsidRDefault="001D528A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Банк обеспечивает соблюдение следующих минимальных стандартов обслуживания ПФУ, касающихся доступности и материального обеспечения офиса, в котор</w:t>
      </w:r>
      <w:r>
        <w:rPr>
          <w:bCs/>
          <w:color w:val="auto"/>
        </w:rPr>
        <w:t>ом осуществляется заключение Договоров о брокерском обслуживании: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размещение в офисе Банка информации, указанной в пункте 3.1 настоящего Положения, с указанием наименования Банка, адреса офиса, дней и часов приема ПФУ и времени перерыва;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наличие у Уполномо</w:t>
      </w:r>
      <w:r>
        <w:rPr>
          <w:rFonts w:ascii="Times New Roman" w:eastAsia="Times New Roman" w:hAnsi="Times New Roman" w:cs="Times New Roman"/>
          <w:sz w:val="24"/>
          <w:szCs w:val="20"/>
        </w:rPr>
        <w:t>ченных сотрудников, лично взаимодействующих с ПФУ, доступных для обозрения ПФУ средств визуальной идентификации, содержащих фамилию и имя работника;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соблюдение Банком правил и норм, установленных регулирующими органами.</w:t>
      </w:r>
    </w:p>
    <w:p w:rsidR="00261EE9" w:rsidRDefault="001D528A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Банк обеспечивает возможность </w:t>
      </w:r>
      <w:r>
        <w:rPr>
          <w:bCs/>
          <w:color w:val="auto"/>
        </w:rPr>
        <w:t>заключения Договора о брокерском обслуживании, а также прохождения тестирования с ПФУ с ограниченными возможностями с учетом требований законодательства Российской Федерации о социальной защите инвалидов, включая допуск сурдопереводчика, тифлосурдопереводч</w:t>
      </w:r>
      <w:r>
        <w:rPr>
          <w:bCs/>
          <w:color w:val="auto"/>
        </w:rPr>
        <w:t>ика и собаки-поводыря, возможность увеличения и звукового воспроизведения Уполномоченным сотрудником текста документов, подписываемых ПФУ, а также вариантов вопросов и ответов тестирования, возможность печати документов с использованием увеличенного размер</w:t>
      </w:r>
      <w:r>
        <w:rPr>
          <w:bCs/>
          <w:color w:val="auto"/>
        </w:rPr>
        <w:t>а шрифта, оказание иной помощи в преодолении барьеров, препятствующих получению лицами с ограниченными возможностями информации о Банке и Финансовых услугах наравне с другими лицами.</w:t>
      </w:r>
    </w:p>
    <w:p w:rsidR="00261EE9" w:rsidRDefault="001D528A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В местах обслуживания ПФУ Банком обеспечен прием документов от ПФУ в объе</w:t>
      </w:r>
      <w:r>
        <w:rPr>
          <w:bCs/>
          <w:color w:val="auto"/>
        </w:rPr>
        <w:t>ме, порядке и на условиях, установленных Регламентом, в том числе в случаях представления ПФУ неполного комплекта документов.</w:t>
      </w:r>
    </w:p>
    <w:p w:rsidR="00261EE9" w:rsidRDefault="001D528A">
      <w:pPr>
        <w:pStyle w:val="1"/>
      </w:pPr>
      <w:bookmarkStart w:id="25" w:name="_Toc63945224"/>
      <w:r>
        <w:t>ТРЕБОВАНИЯ К УПОЛНОМОЧЕННЫМ СОТРУДНИКАМ</w:t>
      </w:r>
      <w:bookmarkEnd w:id="25"/>
    </w:p>
    <w:p w:rsidR="00261EE9" w:rsidRDefault="001D528A">
      <w:pPr>
        <w:pStyle w:val="Default"/>
        <w:numPr>
          <w:ilvl w:val="1"/>
          <w:numId w:val="1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Уполномоченный сотрудник обязан иметь образование не ниже среднего общего, владеть информа</w:t>
      </w:r>
      <w:r>
        <w:rPr>
          <w:bCs/>
          <w:color w:val="auto"/>
        </w:rPr>
        <w:t>цией, необходимой для выполнения должностных обязанностей, предусмотренных трудовым договором и внутренними документами Банка.</w:t>
      </w:r>
    </w:p>
    <w:p w:rsidR="00261EE9" w:rsidRDefault="001D528A">
      <w:pPr>
        <w:pStyle w:val="Default"/>
        <w:numPr>
          <w:ilvl w:val="1"/>
          <w:numId w:val="1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Уполномоченными сотрудниками, осуществляющими непосредственное взаимодействие с ПФУ, являются: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сотрудники Отдела по работе с клие</w:t>
      </w:r>
      <w:r>
        <w:rPr>
          <w:rFonts w:ascii="Times New Roman" w:eastAsia="Times New Roman" w:hAnsi="Times New Roman" w:cs="Times New Roman"/>
          <w:sz w:val="24"/>
          <w:szCs w:val="20"/>
        </w:rPr>
        <w:t>нтами Управления сопровождения клиентского бизнеса;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сотрудники Департамента клиентского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бизнеса.</w:t>
      </w:r>
    </w:p>
    <w:p w:rsidR="00261EE9" w:rsidRDefault="001D528A">
      <w:pPr>
        <w:pStyle w:val="Default"/>
        <w:numPr>
          <w:ilvl w:val="1"/>
          <w:numId w:val="1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Уполномоченные сотрудники, указанные в пункте 5.2. настоящего Положения, должны знать: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Регламент оказания брокерских услуг на рынке ценных бумаг Банка Глобус (</w:t>
      </w:r>
      <w:r>
        <w:rPr>
          <w:rFonts w:ascii="Times New Roman" w:eastAsia="Times New Roman" w:hAnsi="Times New Roman" w:cs="Times New Roman"/>
          <w:sz w:val="24"/>
          <w:szCs w:val="20"/>
        </w:rPr>
        <w:t>АО);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Базовый стандарт;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иные документы Банка, регламентирующие деятельность Банка как профессионального участника рынка ценных бумаг;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расположение необходимой информации о Банке и предоставляемых Банком услугах, как профессионального участника рынка ценных </w:t>
      </w:r>
      <w:r>
        <w:rPr>
          <w:rFonts w:ascii="Times New Roman" w:eastAsia="Times New Roman" w:hAnsi="Times New Roman" w:cs="Times New Roman"/>
          <w:sz w:val="24"/>
          <w:szCs w:val="20"/>
        </w:rPr>
        <w:t>бумаг, на Основном web-сайте Банка и в местах обслуживания Клиентов.</w:t>
      </w:r>
    </w:p>
    <w:p w:rsidR="00261EE9" w:rsidRDefault="001D528A">
      <w:pPr>
        <w:pStyle w:val="Default"/>
        <w:numPr>
          <w:ilvl w:val="1"/>
          <w:numId w:val="1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Уполномоченные сотрудники должны уметь ясно и четко предоставить информацию ПФУ о Банке, как о профессиональном участнике рынка ценных бумаг, в устной форме, с применением интерактивных с</w:t>
      </w:r>
      <w:r>
        <w:rPr>
          <w:bCs/>
          <w:color w:val="auto"/>
        </w:rPr>
        <w:t>редств отображения информации либо путем предоставления ссылок на соответствующий раздел Основного web-сайта Банка, в частности: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наличии лицензии профессионального участника рынка ценных бумаг на осуществление брокерской деятельности;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членстве в саморе</w:t>
      </w:r>
      <w:r>
        <w:rPr>
          <w:rFonts w:ascii="Times New Roman" w:eastAsia="Times New Roman" w:hAnsi="Times New Roman" w:cs="Times New Roman"/>
          <w:sz w:val="24"/>
          <w:szCs w:val="20"/>
        </w:rPr>
        <w:t>гулируемой организации (СРО НАУФОР) и ее адресе в сети «Интернет»;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финансовых услугах, оказываемых на основании Регламента;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тарифах на брокерское обслуживание;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порядке получения финансовой услуги, в том числе документах, которые должны быть предостав</w:t>
      </w:r>
      <w:r>
        <w:rPr>
          <w:rFonts w:ascii="Times New Roman" w:eastAsia="Times New Roman" w:hAnsi="Times New Roman" w:cs="Times New Roman"/>
          <w:sz w:val="24"/>
          <w:szCs w:val="20"/>
        </w:rPr>
        <w:t>лены ПФУ;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способах и адресах направления жалоб и обращений в адрес Банка, в адрес СРО НАУФОР и Банка России;</w:t>
      </w:r>
    </w:p>
    <w:p w:rsidR="00261EE9" w:rsidRDefault="001D528A">
      <w:pPr>
        <w:pStyle w:val="Default"/>
        <w:numPr>
          <w:ilvl w:val="1"/>
          <w:numId w:val="1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Вопросы, возникающие в процессе взаимодействия Уполномоченных сотрудников с ПФУ и выходящие за рамки их компетенции, могут быть переадресованы </w:t>
      </w:r>
      <w:r>
        <w:rPr>
          <w:bCs/>
          <w:color w:val="auto"/>
        </w:rPr>
        <w:t>сотрудникам Банка, обладающим более высокой квалификацией в данном вопросе.</w:t>
      </w:r>
    </w:p>
    <w:p w:rsidR="00261EE9" w:rsidRDefault="001D528A">
      <w:pPr>
        <w:pStyle w:val="Default"/>
        <w:numPr>
          <w:ilvl w:val="1"/>
          <w:numId w:val="1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К числу сотрудников, указанных в пункте 5.5 настоящего Положения, относятся: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сотрудники Отдела ценных бумаг Управления казначейских операций;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начальник Управления казначейских </w:t>
      </w:r>
      <w:r>
        <w:rPr>
          <w:rFonts w:ascii="Times New Roman" w:eastAsia="Times New Roman" w:hAnsi="Times New Roman" w:cs="Times New Roman"/>
          <w:sz w:val="24"/>
          <w:szCs w:val="20"/>
        </w:rPr>
        <w:t>операций;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Контролер ПУРЦБ.</w:t>
      </w:r>
    </w:p>
    <w:p w:rsidR="00261EE9" w:rsidRDefault="001D528A">
      <w:pPr>
        <w:pStyle w:val="Default"/>
        <w:numPr>
          <w:ilvl w:val="1"/>
          <w:numId w:val="1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Если в процессе взаимодействия Уполномоченного сотрудника с ПФУ достигнута договоренность о намерении заключить Договор о брокерском обслуживании, то ПФУ обеспечивается взаимодействие с сотрудником Отдела оформления операций на ф</w:t>
      </w:r>
      <w:r>
        <w:rPr>
          <w:bCs/>
          <w:color w:val="auto"/>
        </w:rPr>
        <w:t>инансовых рынках Управления оформления финансово-кредитных операций для передачи необходимых документов и проведения процедуры заключения вышеуказанного Договора.</w:t>
      </w:r>
    </w:p>
    <w:p w:rsidR="00261EE9" w:rsidRDefault="001D528A">
      <w:pPr>
        <w:pStyle w:val="Default"/>
        <w:numPr>
          <w:ilvl w:val="1"/>
          <w:numId w:val="1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Уполномоченные сотрудники исключают препятствия к осуществлению ПФУ в местах обслуживания ПФУ</w:t>
      </w:r>
      <w:r>
        <w:rPr>
          <w:bCs/>
          <w:color w:val="auto"/>
        </w:rPr>
        <w:t xml:space="preserve"> услуг фотосъемки, аудио и видеозаписи процесса взаимодействия с таким ПФУ, за исключением случаев, когда это может привести к нарушению требований Положения о внутриобъектовом и пропускном режиме, федеральных законов и принятых в соответствии с ними норма</w:t>
      </w:r>
      <w:r>
        <w:rPr>
          <w:bCs/>
          <w:color w:val="auto"/>
        </w:rPr>
        <w:t>тивных актов.</w:t>
      </w:r>
    </w:p>
    <w:p w:rsidR="00261EE9" w:rsidRDefault="001D528A">
      <w:pPr>
        <w:pStyle w:val="1"/>
      </w:pPr>
      <w:bookmarkStart w:id="26" w:name="_Toc63945225"/>
      <w:r>
        <w:t>ПОРЯДОК ПРОВЕДЕНИЯ ОБУЧЕНИЯ УПОЛНОМОЧЕННЫХ СОТРУДНИКОВ И ЕГО ФОРМЫ</w:t>
      </w:r>
      <w:bookmarkEnd w:id="26"/>
    </w:p>
    <w:p w:rsidR="00261EE9" w:rsidRDefault="001D528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>
        <w:rPr>
          <w:color w:val="auto"/>
        </w:rPr>
        <w:t>Целью обучения является обеспечение высокого уровня профессионализма и регулярное повышение квалификации Уполномоченных сотрудников.</w:t>
      </w:r>
    </w:p>
    <w:p w:rsidR="00261EE9" w:rsidRDefault="001D528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>
        <w:rPr>
          <w:color w:val="auto"/>
        </w:rPr>
        <w:t>Обучение Уполномоченных сотрудников осущес</w:t>
      </w:r>
      <w:r>
        <w:rPr>
          <w:color w:val="auto"/>
        </w:rPr>
        <w:t>твляется в следующих формах:</w:t>
      </w:r>
    </w:p>
    <w:p w:rsidR="00261EE9" w:rsidRDefault="001D528A">
      <w:pPr>
        <w:pStyle w:val="Default"/>
        <w:numPr>
          <w:ilvl w:val="0"/>
          <w:numId w:val="8"/>
        </w:numPr>
        <w:ind w:left="709" w:firstLine="11"/>
        <w:jc w:val="both"/>
        <w:rPr>
          <w:color w:val="auto"/>
        </w:rPr>
      </w:pPr>
      <w:r>
        <w:rPr>
          <w:color w:val="auto"/>
          <w:u w:val="single"/>
        </w:rPr>
        <w:t>Вводный (первичный) инструктаж</w:t>
      </w:r>
      <w:r>
        <w:rPr>
          <w:color w:val="auto"/>
        </w:rPr>
        <w:t xml:space="preserve"> – инструктаж, представляющий собой ознакомление с Регламентом, Базовым стандартом, а также другими внутренними документами Банка, расположенными на Основном </w:t>
      </w:r>
      <w:r>
        <w:rPr>
          <w:bCs/>
          <w:color w:val="auto"/>
          <w:lang w:val="en-US"/>
        </w:rPr>
        <w:t>web</w:t>
      </w:r>
      <w:r>
        <w:rPr>
          <w:bCs/>
          <w:color w:val="auto"/>
        </w:rPr>
        <w:t>-сайте</w:t>
      </w:r>
      <w:r>
        <w:rPr>
          <w:color w:val="auto"/>
        </w:rPr>
        <w:t xml:space="preserve"> Банка, в разделе «Брокерское </w:t>
      </w:r>
      <w:r>
        <w:rPr>
          <w:color w:val="auto"/>
        </w:rPr>
        <w:t>обслуживание» (для частных и корпоративных клиентов).</w:t>
      </w:r>
    </w:p>
    <w:p w:rsidR="00261EE9" w:rsidRDefault="001D528A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>Инструктаж проводится Контролером ПУРЦБ при приеме сотрудников на работу в подразделения, указанные в пункте 5.2. настоящего Положения, а также при переводе сотрудников на работу в указанные подразделен</w:t>
      </w:r>
      <w:r>
        <w:rPr>
          <w:color w:val="auto"/>
        </w:rPr>
        <w:t>ия из иных подразделений Банка, путем запуска процесса «На ознакомление» в 1С.</w:t>
      </w:r>
    </w:p>
    <w:p w:rsidR="00261EE9" w:rsidRDefault="001D528A">
      <w:pPr>
        <w:pStyle w:val="Default"/>
        <w:ind w:left="709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Инструктаж проводится в срок, не превышающий 5 (Пять) рабочих дней с даты получения уведомления, направленного по корпоративной электронной почте либо в 1С, Контролером ПУРЦБ от</w:t>
      </w:r>
      <w:r>
        <w:rPr>
          <w:bCs/>
          <w:color w:val="auto"/>
        </w:rPr>
        <w:t xml:space="preserve"> Службы управления персоналом информации о приеме/переводе сотрудника на работу в одно из подразделений, указанных в пункте 5.2. настоящего Положения.</w:t>
      </w:r>
    </w:p>
    <w:p w:rsidR="00261EE9" w:rsidRDefault="001D528A">
      <w:pPr>
        <w:pStyle w:val="Default"/>
        <w:numPr>
          <w:ilvl w:val="0"/>
          <w:numId w:val="8"/>
        </w:numPr>
        <w:ind w:left="709" w:firstLine="11"/>
        <w:jc w:val="both"/>
        <w:rPr>
          <w:bCs/>
          <w:color w:val="auto"/>
        </w:rPr>
      </w:pPr>
      <w:r>
        <w:rPr>
          <w:bCs/>
          <w:color w:val="auto"/>
          <w:u w:val="single"/>
        </w:rPr>
        <w:t>Целевой инструктаж</w:t>
      </w:r>
      <w:r>
        <w:rPr>
          <w:bCs/>
          <w:color w:val="auto"/>
        </w:rPr>
        <w:t xml:space="preserve"> проводится в случае изменения, дополнения действующих и вступлении в силу новых внутре</w:t>
      </w:r>
      <w:r>
        <w:rPr>
          <w:bCs/>
          <w:color w:val="auto"/>
        </w:rPr>
        <w:t>нних документов Банка, Регламента, Базового стандарта, внутренних стандартов СРО НАУФОР и нормативных правовых актов, регламентирующих деятельность Банка как профессионального участника рынка ценных бумаг.</w:t>
      </w:r>
    </w:p>
    <w:p w:rsidR="00261EE9" w:rsidRDefault="001D528A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>Целевой инструктаж проводится Контролером ПУРЦБ по</w:t>
      </w:r>
      <w:r>
        <w:rPr>
          <w:color w:val="auto"/>
        </w:rPr>
        <w:t xml:space="preserve">средством рассылки информации для ознакомления/исполнения в 1С. При этом рассылаемая информация должна быть максимально понятной, простой, описывать произошедшие существенные изменения. </w:t>
      </w:r>
    </w:p>
    <w:p w:rsidR="00261EE9" w:rsidRDefault="001D528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>
        <w:rPr>
          <w:color w:val="auto"/>
        </w:rPr>
        <w:t>При необходимости, Уполномоченные сотрудники могут лично обратиться з</w:t>
      </w:r>
      <w:r>
        <w:rPr>
          <w:color w:val="auto"/>
        </w:rPr>
        <w:t>а дополнительной устной консультацией к Контролеру ПУРЦБ.</w:t>
      </w:r>
    </w:p>
    <w:p w:rsidR="00261EE9" w:rsidRDefault="001D528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>
        <w:rPr>
          <w:bCs/>
          <w:color w:val="auto"/>
        </w:rPr>
        <w:t>Уполномоченные сотрудники вправе проходить дополнительное обучение в виде посещения семинаров, лекций, консультаций и иных мероприятий в организациях,</w:t>
      </w:r>
      <w:r>
        <w:rPr>
          <w:color w:val="auto"/>
        </w:rPr>
        <w:t xml:space="preserve"> которые осуществляют подготовку и обучение кадр</w:t>
      </w:r>
      <w:r>
        <w:rPr>
          <w:color w:val="auto"/>
        </w:rPr>
        <w:t xml:space="preserve">ов в соответствии с требованиями к подготовке и обучению кадров, установленными федеральными законами и иными нормативными правовыми актами Российской Федерации. Сроки и конкретные даты проведения обучения определяются по согласованию </w:t>
      </w:r>
      <w:r>
        <w:rPr>
          <w:color w:val="auto"/>
          <w:lang w:val="en-US"/>
        </w:rPr>
        <w:t>c</w:t>
      </w:r>
      <w:r>
        <w:rPr>
          <w:color w:val="auto"/>
        </w:rPr>
        <w:t xml:space="preserve"> руководителем подра</w:t>
      </w:r>
      <w:r>
        <w:rPr>
          <w:color w:val="auto"/>
        </w:rPr>
        <w:t>зделения (а в случае его отсутствия – с куратором). Заключение договора на обучение и оплата обучения осуществляются в порядке, установленном в Банке. Документы, подтверждающие прохождение Уполномоченным сотрудником дополнительного обучения (сертификаты, а</w:t>
      </w:r>
      <w:r>
        <w:rPr>
          <w:color w:val="auto"/>
        </w:rPr>
        <w:t>ттестаты), не позднее 1 (одного) рабочего дня после прохождения обучения передаются в Службу управления персоналом и хранятся в личном деле сотрудника.</w:t>
      </w:r>
    </w:p>
    <w:p w:rsidR="00261EE9" w:rsidRDefault="001D528A">
      <w:pPr>
        <w:pStyle w:val="1"/>
      </w:pPr>
      <w:bookmarkStart w:id="27" w:name="_Toc63945226"/>
      <w:r>
        <w:t>ПОРЯДОК ПРОВЕДЕНИЯ ПРОВЕРКИ КВАЛИФИКАЦИИ УПОЛНОМОЧЕННЫХ СОТРУДНИКОВ</w:t>
      </w:r>
      <w:bookmarkEnd w:id="27"/>
    </w:p>
    <w:p w:rsidR="00261EE9" w:rsidRDefault="001D528A">
      <w:pPr>
        <w:pStyle w:val="Default"/>
        <w:numPr>
          <w:ilvl w:val="0"/>
          <w:numId w:val="9"/>
        </w:numPr>
        <w:ind w:left="0" w:firstLine="709"/>
        <w:jc w:val="both"/>
      </w:pPr>
      <w:r>
        <w:t>Проверка квалификации Уполномоченных</w:t>
      </w:r>
      <w:r>
        <w:t xml:space="preserve"> сотрудников проводится Контролером ПУРЦБ с учетом следующего:</w:t>
      </w:r>
    </w:p>
    <w:p w:rsidR="00261EE9" w:rsidRDefault="001D528A">
      <w:pPr>
        <w:pStyle w:val="Default"/>
        <w:numPr>
          <w:ilvl w:val="0"/>
          <w:numId w:val="10"/>
        </w:numPr>
        <w:ind w:hanging="11"/>
        <w:jc w:val="both"/>
      </w:pPr>
      <w:r>
        <w:t>первичная оценка квалификации проводится по истечении одного месяца с даты вводного (первичного) инструктажа;</w:t>
      </w:r>
    </w:p>
    <w:p w:rsidR="00261EE9" w:rsidRDefault="001D528A">
      <w:pPr>
        <w:pStyle w:val="Default"/>
        <w:numPr>
          <w:ilvl w:val="0"/>
          <w:numId w:val="10"/>
        </w:numPr>
        <w:ind w:hanging="11"/>
        <w:jc w:val="both"/>
      </w:pPr>
      <w:r>
        <w:t xml:space="preserve">итоговая оценка квалификации проводится регулярно, не реже одного раза в год. </w:t>
      </w:r>
    </w:p>
    <w:p w:rsidR="00261EE9" w:rsidRDefault="001D528A">
      <w:pPr>
        <w:pStyle w:val="Default"/>
        <w:jc w:val="both"/>
      </w:pPr>
      <w:r>
        <w:t>Сроки и формы проведения проверок определяются Контролером ПУРЦБ в каждом конкретном случае самостоятельно. Проверка квалификации может проводиться в форме тестирования и оформляться по форме Приложения №1 к настоящему Положению или устного собеседования.</w:t>
      </w:r>
    </w:p>
    <w:p w:rsidR="00261EE9" w:rsidRDefault="001D528A">
      <w:pPr>
        <w:pStyle w:val="Default"/>
        <w:numPr>
          <w:ilvl w:val="0"/>
          <w:numId w:val="9"/>
        </w:numPr>
        <w:ind w:left="0" w:firstLine="709"/>
        <w:jc w:val="both"/>
      </w:pPr>
      <w:r>
        <w:t>Результат проверки квалификации Уполномоченных сотрудников фиксируется в Журнале проведения проверок квалификации сотрудников Банка Глобус (АО), осуществляющих непосредственное взаимодействие с получателями финансовых услуг (Приложение №2 к настоящему Поло</w:t>
      </w:r>
      <w:r>
        <w:t>жению), который ведется Контролером ПУРЦБ на бумажном носителе.</w:t>
      </w:r>
    </w:p>
    <w:p w:rsidR="00261EE9" w:rsidRDefault="001D528A">
      <w:pPr>
        <w:pStyle w:val="Default"/>
        <w:numPr>
          <w:ilvl w:val="0"/>
          <w:numId w:val="9"/>
        </w:numPr>
        <w:ind w:left="0" w:firstLine="709"/>
        <w:jc w:val="both"/>
      </w:pPr>
      <w:r>
        <w:t>В случае если Уполномоченный сотрудник прошел независимую оценку квалификации</w:t>
      </w:r>
      <w:r>
        <w:rPr>
          <w:rStyle w:val="a3"/>
        </w:rPr>
        <w:footnoteReference w:id="1"/>
      </w:r>
      <w:r>
        <w:t xml:space="preserve"> в центре оценки квалификации, то он признается квалифицированным сотрудником на все время действия полученного се</w:t>
      </w:r>
      <w:r>
        <w:t>ртификата (аттестата) и не подлежит регулярной проверке квалификации, проводимой Контролером ПУРЦБ.</w:t>
      </w:r>
    </w:p>
    <w:p w:rsidR="00261EE9" w:rsidRDefault="001D528A">
      <w:pPr>
        <w:pStyle w:val="Default"/>
        <w:numPr>
          <w:ilvl w:val="0"/>
          <w:numId w:val="9"/>
        </w:numPr>
        <w:ind w:left="0" w:firstLine="709"/>
        <w:jc w:val="both"/>
      </w:pPr>
      <w:r>
        <w:lastRenderedPageBreak/>
        <w:t>Уполномоченные сотрудники, показавшие неудовлетворительные результаты проверки квалификации (по результатам тестирования или устного собеседования), в течен</w:t>
      </w:r>
      <w:r>
        <w:t>ие 10 (десяти) рабочих дней с даты окончания такой проверки должны пройти повторную проверку квалификации.</w:t>
      </w:r>
    </w:p>
    <w:p w:rsidR="00261EE9" w:rsidRDefault="001D528A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В случае не прохождения проверки квалификации Уполномоченным сотрудником два и более раз, Контролер ПУРЦБ вправе направить служебную записку </w:t>
      </w:r>
      <w:r>
        <w:rPr>
          <w:color w:val="auto"/>
        </w:rPr>
        <w:t>непосредственному руководителю сотрудника или куратору подразделения, в котором работает Уполномоченный сотрудник, с требованием принять необходимые меры для изучения сотрудником материалов и успешного прохождения сотрудником тестирования (собеседования).</w:t>
      </w:r>
    </w:p>
    <w:p w:rsidR="00261EE9" w:rsidRDefault="001D528A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>
        <w:rPr>
          <w:color w:val="auto"/>
        </w:rPr>
        <w:t>Журнал проведения проверок квалификации сотрудников хранится на бумажном носителе у Контролера ПУРЦБ в течение срока, установленного номенклатурой дел Банка.</w:t>
      </w:r>
    </w:p>
    <w:p w:rsidR="00261EE9" w:rsidRDefault="001D528A">
      <w:pPr>
        <w:pStyle w:val="1"/>
      </w:pPr>
      <w:bookmarkStart w:id="28" w:name="_Toc63945227"/>
      <w:r>
        <w:t>РАССМОТРЕНИЕ ОБРАЩЕНИЙ И ЖАЛОБ ПОЛУЧАТЕЛЕЙ ФИНАНСОВЫХ УСЛУГ</w:t>
      </w:r>
      <w:bookmarkEnd w:id="28"/>
    </w:p>
    <w:p w:rsidR="00261EE9" w:rsidRDefault="001D528A">
      <w:pPr>
        <w:pStyle w:val="af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обеспечивает объективное, всестор</w:t>
      </w:r>
      <w:r>
        <w:rPr>
          <w:rFonts w:ascii="Times New Roman" w:hAnsi="Times New Roman" w:cs="Times New Roman"/>
          <w:sz w:val="24"/>
          <w:szCs w:val="24"/>
        </w:rPr>
        <w:t>оннее и своевременное рассмотрение Обращений (Жалоб), поступивших от ПФУ, и дает ответ по существу поставленных в Обращении (Жалоб) вопросов.</w:t>
      </w:r>
    </w:p>
    <w:p w:rsidR="00261EE9" w:rsidRDefault="001D528A">
      <w:pPr>
        <w:pStyle w:val="af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и сроки рассмотрения Обращений и Жалоб, поступивших от ПФУ регламентированы Положением об организации вн</w:t>
      </w:r>
      <w:r>
        <w:rPr>
          <w:rFonts w:ascii="Times New Roman" w:hAnsi="Times New Roman" w:cs="Times New Roman"/>
          <w:sz w:val="24"/>
          <w:szCs w:val="24"/>
        </w:rPr>
        <w:t>утреннего контроля за деятельностью Банка Глобус (АО) на рынке ценных бумаг и Регламентом организации работы с обращениями клиентов в Банке Глобус (АО).</w:t>
      </w:r>
    </w:p>
    <w:p w:rsidR="00261EE9" w:rsidRDefault="001D528A">
      <w:pPr>
        <w:pStyle w:val="af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Брокер ежеквартально в срок, не превышающий 30 (Тридцать) рабочих дней со дня окончания квартала, напра</w:t>
      </w:r>
      <w:r>
        <w:rPr>
          <w:rFonts w:ascii="Times New Roman" w:hAnsi="Times New Roman" w:cs="Times New Roman"/>
          <w:sz w:val="24"/>
          <w:szCs w:val="24"/>
        </w:rPr>
        <w:t xml:space="preserve">вляет в СРО НАУФОР в электронной форме систематизированные сведения о количестве и тематике поступивших брокеру за отчетный квартал Обращений (Жалоб), а также о нарушениях, выявленных в ходе рассмотрения Обращений (Жалоб). </w:t>
      </w:r>
    </w:p>
    <w:p w:rsidR="00261EE9" w:rsidRDefault="001D528A">
      <w:pPr>
        <w:pStyle w:val="1"/>
        <w:rPr>
          <w:rFonts w:eastAsia="Times New Roman"/>
        </w:rPr>
      </w:pPr>
      <w:bookmarkStart w:id="29" w:name="_Toc63945228"/>
      <w:bookmarkStart w:id="30" w:name="_Toc483909483"/>
      <w:r>
        <w:t>СПОСОБЫ</w:t>
      </w:r>
      <w:r>
        <w:rPr>
          <w:rFonts w:eastAsia="Times New Roman"/>
        </w:rPr>
        <w:t xml:space="preserve"> ЗАЩИТЫ ПРАВ ПОЛУЧАТЕЛЕЙ </w:t>
      </w:r>
      <w:r>
        <w:rPr>
          <w:rFonts w:eastAsia="Times New Roman"/>
        </w:rPr>
        <w:t>ФИНАНСОВЫХ УСЛУГ</w:t>
      </w:r>
      <w:bookmarkEnd w:id="29"/>
    </w:p>
    <w:p w:rsidR="00261EE9" w:rsidRDefault="001D528A">
      <w:pPr>
        <w:pStyle w:val="af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финансовых услуг могут защитить свои права следующими способами: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обратиться в Банк, как к профессиональному участнику, предоставляющему услуги в качестве брокера, по адресу местонахождения Банка;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обратиться в СРО НАУФОР, членом </w:t>
      </w:r>
      <w:r>
        <w:rPr>
          <w:rFonts w:ascii="Times New Roman" w:eastAsia="Times New Roman" w:hAnsi="Times New Roman" w:cs="Times New Roman"/>
          <w:sz w:val="24"/>
          <w:szCs w:val="20"/>
        </w:rPr>
        <w:t>которой является Банк;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подать жалобу в Центральный банк Российской Федерации;</w:t>
      </w:r>
    </w:p>
    <w:p w:rsidR="00261EE9" w:rsidRDefault="001D528A">
      <w:pPr>
        <w:numPr>
          <w:ilvl w:val="0"/>
          <w:numId w:val="3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обратиться к уполномоченному по правам потребителей финансовых услуг.</w:t>
      </w:r>
    </w:p>
    <w:p w:rsidR="00261EE9" w:rsidRDefault="001D528A">
      <w:pPr>
        <w:pStyle w:val="1"/>
        <w:rPr>
          <w:rFonts w:eastAsia="Times New Roman"/>
        </w:rPr>
      </w:pPr>
      <w:bookmarkStart w:id="31" w:name="_Toc63945229"/>
      <w:r>
        <w:rPr>
          <w:rFonts w:eastAsia="Times New Roman"/>
        </w:rPr>
        <w:t>ФОРМЫ РЕАЛИЗАЦИИ ПРАВА ПОЛУЧАТЕЛЯ ФИНАНСОВЫХ УСЛУГ НА ДОСУДЕБНЫЙ (ВНЕСУДЕБНЫЙ) ПОРЯДОК РАЗРЕШЕНИЯ СПОРОВ</w:t>
      </w:r>
      <w:bookmarkEnd w:id="31"/>
    </w:p>
    <w:p w:rsidR="00261EE9" w:rsidRDefault="001D528A">
      <w:pPr>
        <w:pStyle w:val="af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лучае поступления от ПФУ претензии в связи с возникновением спора, связанного с исполнением Договора о брокерском обслуживании, Банк обязан обеспечить рассмотрение такой претензии в порядке, установленном внутренними документами Банка.</w:t>
      </w:r>
    </w:p>
    <w:p w:rsidR="00261EE9" w:rsidRDefault="001D528A">
      <w:pPr>
        <w:pStyle w:val="af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Банк обязуется предпринимать все необходимые действия для урегулирования спорных вопросов путем переговоров.</w:t>
      </w:r>
    </w:p>
    <w:p w:rsidR="00261EE9" w:rsidRDefault="001D528A">
      <w:pPr>
        <w:pStyle w:val="af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Неурегулированные споры и разногласия разрешаются в судебном порядке в Арбитражном суде г. Москвы (для юридических лиц) либо в суде общей юрисдикц</w:t>
      </w:r>
      <w:r>
        <w:rPr>
          <w:rFonts w:ascii="Times New Roman" w:hAnsi="Times New Roman" w:cs="Times New Roman"/>
          <w:sz w:val="24"/>
          <w:szCs w:val="24"/>
        </w:rPr>
        <w:t>ии по месту нахождения Брокера (для физических лиц), если иное не предусмотрено действующим законодательством Российской Федерации.</w:t>
      </w:r>
    </w:p>
    <w:p w:rsidR="00261EE9" w:rsidRDefault="001D528A">
      <w:pPr>
        <w:pStyle w:val="1"/>
        <w:rPr>
          <w:rFonts w:eastAsia="Times New Roman"/>
        </w:rPr>
      </w:pPr>
      <w:bookmarkStart w:id="32" w:name="_Toc63945230"/>
      <w:r>
        <w:rPr>
          <w:rFonts w:eastAsia="Times New Roman"/>
        </w:rPr>
        <w:lastRenderedPageBreak/>
        <w:t>ЗАКЛЮЧИТЕЛЬНЫЕ ПОЛОЖЕНИЯ</w:t>
      </w:r>
      <w:bookmarkEnd w:id="30"/>
      <w:bookmarkEnd w:id="32"/>
    </w:p>
    <w:p w:rsidR="00261EE9" w:rsidRDefault="001D528A">
      <w:pPr>
        <w:pStyle w:val="af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подлежит пересмотру при изменении подходов Банка к организации порядка проведен</w:t>
      </w:r>
      <w:r>
        <w:rPr>
          <w:rFonts w:ascii="Times New Roman" w:hAnsi="Times New Roman" w:cs="Times New Roman"/>
          <w:sz w:val="24"/>
          <w:szCs w:val="24"/>
        </w:rPr>
        <w:t xml:space="preserve">ия обучения и проверки квалификации Уполномоченных сотрудников. </w:t>
      </w:r>
    </w:p>
    <w:p w:rsidR="00261EE9" w:rsidRDefault="001D528A">
      <w:pPr>
        <w:pStyle w:val="af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результате изменений законодательства Российской Федерации и (или) иных нормативных правовых актов отдельные статьи настоящего Положения вступают в противоречие с ними или становятся н</w:t>
      </w:r>
      <w:r>
        <w:rPr>
          <w:rFonts w:ascii="Times New Roman" w:hAnsi="Times New Roman" w:cs="Times New Roman"/>
          <w:sz w:val="24"/>
          <w:szCs w:val="24"/>
        </w:rPr>
        <w:t>едействительными, до момента внесения изменений в Положение руководители и сотрудники руководствуются действующими применимыми нормами законодательства Российской Федерации и актами Банка России.</w:t>
      </w:r>
    </w:p>
    <w:p w:rsidR="00261EE9" w:rsidRDefault="001D528A">
      <w:pP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</w:rPr>
      </w:pPr>
      <w:r>
        <w:rPr>
          <w:rFonts w:eastAsia="Lucida Sans Unicode"/>
          <w:kern w:val="3"/>
        </w:rPr>
        <w:br w:type="page"/>
      </w:r>
    </w:p>
    <w:p w:rsidR="00261EE9" w:rsidRDefault="001D528A">
      <w:pPr>
        <w:pStyle w:val="Default"/>
        <w:ind w:left="5103"/>
        <w:jc w:val="both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 1</w:t>
      </w:r>
    </w:p>
    <w:p w:rsidR="00261EE9" w:rsidRDefault="001D528A">
      <w:pPr>
        <w:pStyle w:val="Default"/>
        <w:ind w:left="5103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к </w:t>
      </w:r>
      <w:r>
        <w:rPr>
          <w:bCs/>
          <w:sz w:val="20"/>
        </w:rPr>
        <w:t>Положению о защите прав и интересов клиен</w:t>
      </w:r>
      <w:r>
        <w:rPr>
          <w:bCs/>
          <w:sz w:val="20"/>
        </w:rPr>
        <w:t>тов – получателей финансовых услуг, оказываемых Банком Глобус (АО)</w:t>
      </w:r>
    </w:p>
    <w:p w:rsidR="00261EE9" w:rsidRDefault="00261EE9">
      <w:pPr>
        <w:pStyle w:val="2"/>
        <w:rPr>
          <w:rFonts w:eastAsia="Times New Roman"/>
        </w:rPr>
      </w:pPr>
      <w:bookmarkStart w:id="33" w:name="_Toc63945231"/>
    </w:p>
    <w:p w:rsidR="00261EE9" w:rsidRDefault="001D528A">
      <w:pPr>
        <w:pStyle w:val="2"/>
        <w:rPr>
          <w:rFonts w:eastAsia="Times New Roman"/>
        </w:rPr>
      </w:pPr>
      <w:r>
        <w:rPr>
          <w:rFonts w:eastAsia="Times New Roman"/>
        </w:rPr>
        <w:t>Протокол тестирования сотрудника Банка Глобус (АО), осуществляющего непосредственное взаимодействие с получателями финансовых услуг</w:t>
      </w:r>
      <w:bookmarkEnd w:id="33"/>
    </w:p>
    <w:p w:rsidR="00261EE9" w:rsidRDefault="001D528A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(макет)</w:t>
      </w:r>
    </w:p>
    <w:tbl>
      <w:tblPr>
        <w:tblStyle w:val="22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237"/>
      </w:tblGrid>
      <w:tr w:rsidR="00261EE9">
        <w:trPr>
          <w:jc w:val="center"/>
        </w:trPr>
        <w:tc>
          <w:tcPr>
            <w:tcW w:w="2518" w:type="dxa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Ф.И.О</w:t>
            </w:r>
          </w:p>
        </w:tc>
        <w:tc>
          <w:tcPr>
            <w:tcW w:w="6237" w:type="dxa"/>
          </w:tcPr>
          <w:p w:rsidR="00261EE9" w:rsidRDefault="00261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261EE9">
        <w:trPr>
          <w:jc w:val="center"/>
        </w:trPr>
        <w:tc>
          <w:tcPr>
            <w:tcW w:w="2518" w:type="dxa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Подразделение</w:t>
            </w:r>
          </w:p>
        </w:tc>
        <w:tc>
          <w:tcPr>
            <w:tcW w:w="6237" w:type="dxa"/>
          </w:tcPr>
          <w:p w:rsidR="00261EE9" w:rsidRDefault="00261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261EE9">
        <w:trPr>
          <w:jc w:val="center"/>
        </w:trPr>
        <w:tc>
          <w:tcPr>
            <w:tcW w:w="2518" w:type="dxa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Должность</w:t>
            </w:r>
          </w:p>
        </w:tc>
        <w:tc>
          <w:tcPr>
            <w:tcW w:w="6237" w:type="dxa"/>
          </w:tcPr>
          <w:p w:rsidR="00261EE9" w:rsidRDefault="00261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</w:tbl>
    <w:p w:rsidR="00261EE9" w:rsidRDefault="001D528A">
      <w:pPr>
        <w:pStyle w:val="af5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№1</w:t>
      </w:r>
    </w:p>
    <w:tbl>
      <w:tblPr>
        <w:tblStyle w:val="22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1686"/>
      </w:tblGrid>
      <w:tr w:rsidR="00261EE9">
        <w:trPr>
          <w:jc w:val="center"/>
        </w:trPr>
        <w:tc>
          <w:tcPr>
            <w:tcW w:w="0" w:type="auto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Ответ номер 1</w:t>
            </w:r>
          </w:p>
        </w:tc>
      </w:tr>
      <w:tr w:rsidR="00261EE9">
        <w:trPr>
          <w:jc w:val="center"/>
        </w:trPr>
        <w:tc>
          <w:tcPr>
            <w:tcW w:w="0" w:type="auto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Ответ номер 2</w:t>
            </w:r>
          </w:p>
        </w:tc>
      </w:tr>
      <w:tr w:rsidR="00261EE9">
        <w:trPr>
          <w:jc w:val="center"/>
        </w:trPr>
        <w:tc>
          <w:tcPr>
            <w:tcW w:w="0" w:type="auto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Ответ номер 3</w:t>
            </w:r>
          </w:p>
        </w:tc>
      </w:tr>
    </w:tbl>
    <w:p w:rsidR="00261EE9" w:rsidRDefault="001D52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261EE9" w:rsidRDefault="001D52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Вопрос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</w:t>
      </w:r>
    </w:p>
    <w:tbl>
      <w:tblPr>
        <w:tblStyle w:val="22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1686"/>
      </w:tblGrid>
      <w:tr w:rsidR="00261EE9">
        <w:trPr>
          <w:jc w:val="center"/>
        </w:trPr>
        <w:tc>
          <w:tcPr>
            <w:tcW w:w="0" w:type="auto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Ответ номер 1</w:t>
            </w:r>
          </w:p>
        </w:tc>
      </w:tr>
      <w:tr w:rsidR="00261EE9">
        <w:trPr>
          <w:jc w:val="center"/>
        </w:trPr>
        <w:tc>
          <w:tcPr>
            <w:tcW w:w="0" w:type="auto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Ответ номер 2</w:t>
            </w:r>
          </w:p>
        </w:tc>
      </w:tr>
      <w:tr w:rsidR="00261EE9">
        <w:trPr>
          <w:jc w:val="center"/>
        </w:trPr>
        <w:tc>
          <w:tcPr>
            <w:tcW w:w="0" w:type="auto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Ответ номер 3</w:t>
            </w:r>
          </w:p>
        </w:tc>
      </w:tr>
    </w:tbl>
    <w:p w:rsidR="00261EE9" w:rsidRDefault="001D528A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_____________________</w:t>
      </w:r>
    </w:p>
    <w:tbl>
      <w:tblPr>
        <w:tblStyle w:val="22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61EE9">
        <w:trPr>
          <w:jc w:val="center"/>
        </w:trPr>
        <w:tc>
          <w:tcPr>
            <w:tcW w:w="9571" w:type="dxa"/>
            <w:gridSpan w:val="2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US"/>
              </w:rPr>
              <w:t>Заключение по результатам тестирования:</w:t>
            </w:r>
          </w:p>
        </w:tc>
      </w:tr>
      <w:tr w:rsidR="00261EE9">
        <w:trPr>
          <w:jc w:val="center"/>
        </w:trPr>
        <w:tc>
          <w:tcPr>
            <w:tcW w:w="4785" w:type="dxa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  <w:t>количество правильных ответов</w:t>
            </w:r>
          </w:p>
        </w:tc>
        <w:tc>
          <w:tcPr>
            <w:tcW w:w="4786" w:type="dxa"/>
          </w:tcPr>
          <w:p w:rsidR="00261EE9" w:rsidRDefault="00261E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261EE9">
        <w:trPr>
          <w:jc w:val="center"/>
        </w:trPr>
        <w:tc>
          <w:tcPr>
            <w:tcW w:w="4785" w:type="dxa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  <w:t>количество неправильных ответов</w:t>
            </w:r>
          </w:p>
        </w:tc>
        <w:tc>
          <w:tcPr>
            <w:tcW w:w="4786" w:type="dxa"/>
          </w:tcPr>
          <w:p w:rsidR="00261EE9" w:rsidRDefault="00261E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261EE9">
        <w:trPr>
          <w:jc w:val="center"/>
        </w:trPr>
        <w:tc>
          <w:tcPr>
            <w:tcW w:w="4785" w:type="dxa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  <w:t>правильных ответов</w:t>
            </w:r>
          </w:p>
        </w:tc>
        <w:tc>
          <w:tcPr>
            <w:tcW w:w="4786" w:type="dxa"/>
          </w:tcPr>
          <w:p w:rsidR="00261EE9" w:rsidRDefault="00261E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261EE9">
        <w:trPr>
          <w:jc w:val="center"/>
        </w:trPr>
        <w:tc>
          <w:tcPr>
            <w:tcW w:w="4785" w:type="dxa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  <w:t>Оценка результатов тестирования</w:t>
            </w:r>
          </w:p>
        </w:tc>
        <w:tc>
          <w:tcPr>
            <w:tcW w:w="4786" w:type="dxa"/>
          </w:tcPr>
          <w:p w:rsidR="00261EE9" w:rsidRDefault="001D528A">
            <w:pPr>
              <w:pStyle w:val="af5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Отлично </w:t>
            </w:r>
          </w:p>
          <w:p w:rsidR="00261EE9" w:rsidRDefault="001D528A">
            <w:pPr>
              <w:pStyle w:val="af5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Хорошо</w:t>
            </w:r>
          </w:p>
          <w:p w:rsidR="00261EE9" w:rsidRDefault="001D528A">
            <w:pPr>
              <w:pStyle w:val="af5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Удовлетворительно</w:t>
            </w:r>
          </w:p>
          <w:p w:rsidR="00261EE9" w:rsidRDefault="001D528A">
            <w:pPr>
              <w:pStyle w:val="af5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Неудовлетворительно</w:t>
            </w:r>
          </w:p>
        </w:tc>
      </w:tr>
      <w:tr w:rsidR="00261EE9">
        <w:trPr>
          <w:jc w:val="center"/>
        </w:trPr>
        <w:tc>
          <w:tcPr>
            <w:tcW w:w="4785" w:type="dxa"/>
          </w:tcPr>
          <w:p w:rsidR="00261EE9" w:rsidRDefault="001D5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  <w:t>Контролер ПУРЦБ</w:t>
            </w:r>
          </w:p>
        </w:tc>
        <w:tc>
          <w:tcPr>
            <w:tcW w:w="4786" w:type="dxa"/>
          </w:tcPr>
          <w:p w:rsidR="00261EE9" w:rsidRDefault="00261E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</w:tbl>
    <w:p w:rsidR="00261EE9" w:rsidRDefault="00261EE9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  <w:sectPr w:rsidR="00261E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61EE9" w:rsidRDefault="001D528A">
      <w:pPr>
        <w:pStyle w:val="Default"/>
        <w:ind w:left="9072"/>
        <w:jc w:val="both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 2</w:t>
      </w:r>
    </w:p>
    <w:p w:rsidR="00261EE9" w:rsidRDefault="001D528A">
      <w:pPr>
        <w:pStyle w:val="Default"/>
        <w:ind w:left="9072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к </w:t>
      </w:r>
      <w:r>
        <w:rPr>
          <w:bCs/>
          <w:sz w:val="20"/>
        </w:rPr>
        <w:t>Положению о защите прав и интересов клиентов – получателей финансовых услуг, оказываемых Банком Глобус (АО)</w:t>
      </w:r>
    </w:p>
    <w:p w:rsidR="00261EE9" w:rsidRDefault="001D528A">
      <w:pPr>
        <w:pStyle w:val="2"/>
        <w:rPr>
          <w:rFonts w:eastAsia="Times New Roman"/>
        </w:rPr>
      </w:pPr>
      <w:bookmarkStart w:id="34" w:name="_Toc63945232"/>
      <w:r>
        <w:rPr>
          <w:rFonts w:eastAsia="Times New Roman"/>
        </w:rPr>
        <w:t xml:space="preserve">Журнал проведения проверок квалификации сотрудников Банка Глобус (АО), осуществляющих непосредственное взаимодействие с </w:t>
      </w:r>
      <w:r>
        <w:rPr>
          <w:rFonts w:eastAsia="Times New Roman"/>
        </w:rPr>
        <w:t>получателями финансовых услуг</w:t>
      </w:r>
      <w:bookmarkEnd w:id="34"/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1297"/>
        <w:gridCol w:w="1502"/>
        <w:gridCol w:w="1512"/>
        <w:gridCol w:w="1340"/>
        <w:gridCol w:w="3179"/>
        <w:gridCol w:w="2638"/>
        <w:gridCol w:w="1662"/>
        <w:gridCol w:w="1656"/>
      </w:tblGrid>
      <w:tr w:rsidR="00261EE9">
        <w:tc>
          <w:tcPr>
            <w:tcW w:w="439" w:type="pct"/>
            <w:vAlign w:val="center"/>
          </w:tcPr>
          <w:p w:rsidR="00261EE9" w:rsidRDefault="001D528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508" w:type="pct"/>
            <w:vAlign w:val="center"/>
          </w:tcPr>
          <w:p w:rsidR="00261EE9" w:rsidRDefault="001D528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ФИО проверяемого сотрудника</w:t>
            </w:r>
          </w:p>
        </w:tc>
        <w:tc>
          <w:tcPr>
            <w:tcW w:w="511" w:type="pct"/>
            <w:vAlign w:val="center"/>
          </w:tcPr>
          <w:p w:rsidR="00261EE9" w:rsidRDefault="001D528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Подразделение</w:t>
            </w:r>
          </w:p>
        </w:tc>
        <w:tc>
          <w:tcPr>
            <w:tcW w:w="453" w:type="pct"/>
            <w:vAlign w:val="center"/>
          </w:tcPr>
          <w:p w:rsidR="00261EE9" w:rsidRDefault="001D528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075" w:type="pct"/>
            <w:vAlign w:val="center"/>
          </w:tcPr>
          <w:p w:rsidR="00261EE9" w:rsidRDefault="001D528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Результат проверки</w:t>
            </w:r>
          </w:p>
        </w:tc>
        <w:tc>
          <w:tcPr>
            <w:tcW w:w="892" w:type="pct"/>
            <w:vAlign w:val="center"/>
          </w:tcPr>
          <w:p w:rsidR="00261EE9" w:rsidRDefault="001D528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Форма проверки квалификации</w:t>
            </w:r>
          </w:p>
        </w:tc>
        <w:tc>
          <w:tcPr>
            <w:tcW w:w="562" w:type="pct"/>
            <w:vAlign w:val="center"/>
          </w:tcPr>
          <w:p w:rsidR="00261EE9" w:rsidRDefault="001D528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Подпись сотрудника</w:t>
            </w:r>
          </w:p>
        </w:tc>
        <w:tc>
          <w:tcPr>
            <w:tcW w:w="562" w:type="pct"/>
            <w:vAlign w:val="center"/>
          </w:tcPr>
          <w:p w:rsidR="00261EE9" w:rsidRDefault="001D528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Подпись Контролера ПУРЦБ</w:t>
            </w:r>
          </w:p>
        </w:tc>
      </w:tr>
      <w:tr w:rsidR="00261EE9">
        <w:tc>
          <w:tcPr>
            <w:tcW w:w="439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508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261EE9" w:rsidRDefault="00261EE9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</w:tcPr>
          <w:p w:rsidR="00261EE9" w:rsidRDefault="00261EE9">
            <w:pPr>
              <w:pStyle w:val="af5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</w:tcPr>
          <w:p w:rsidR="00261EE9" w:rsidRDefault="001D528A">
            <w:pPr>
              <w:pStyle w:val="af5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Отлично </w:t>
            </w:r>
          </w:p>
          <w:p w:rsidR="00261EE9" w:rsidRDefault="001D528A">
            <w:pPr>
              <w:pStyle w:val="af5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Хорошо</w:t>
            </w:r>
          </w:p>
          <w:p w:rsidR="00261EE9" w:rsidRDefault="001D528A">
            <w:pPr>
              <w:pStyle w:val="af5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Удовлетворительно</w:t>
            </w:r>
          </w:p>
          <w:p w:rsidR="00261EE9" w:rsidRDefault="001D52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892" w:type="pct"/>
          </w:tcPr>
          <w:p w:rsidR="00261EE9" w:rsidRDefault="001D528A">
            <w:pPr>
              <w:pStyle w:val="af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Собеседование</w:t>
            </w:r>
          </w:p>
          <w:p w:rsidR="00261EE9" w:rsidRDefault="001D528A">
            <w:pPr>
              <w:pStyle w:val="af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Тестирование</w:t>
            </w:r>
          </w:p>
        </w:tc>
        <w:tc>
          <w:tcPr>
            <w:tcW w:w="562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</w:p>
        </w:tc>
      </w:tr>
      <w:tr w:rsidR="00261EE9">
        <w:tc>
          <w:tcPr>
            <w:tcW w:w="439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08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11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453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1075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892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62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562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</w:tr>
      <w:tr w:rsidR="00261EE9">
        <w:tc>
          <w:tcPr>
            <w:tcW w:w="439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08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11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453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1075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892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62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562" w:type="pct"/>
          </w:tcPr>
          <w:p w:rsidR="00261EE9" w:rsidRDefault="00261EE9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</w:tr>
    </w:tbl>
    <w:p w:rsidR="00261EE9" w:rsidRDefault="00261EE9">
      <w:pPr>
        <w:rPr>
          <w:rFonts w:ascii="Times New Roman" w:eastAsia="Times New Roman" w:hAnsi="Times New Roman" w:cs="Arial"/>
        </w:rPr>
      </w:pPr>
    </w:p>
    <w:sectPr w:rsidR="00261EE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8A" w:rsidRDefault="001D528A">
      <w:pPr>
        <w:spacing w:line="240" w:lineRule="auto"/>
      </w:pPr>
      <w:r>
        <w:separator/>
      </w:r>
    </w:p>
  </w:endnote>
  <w:endnote w:type="continuationSeparator" w:id="0">
    <w:p w:rsidR="001D528A" w:rsidRDefault="001D5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E9" w:rsidRDefault="00261EE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028411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1EE9" w:rsidRDefault="001D528A">
        <w:pPr>
          <w:pStyle w:val="af2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07C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E9" w:rsidRDefault="00261EE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8A" w:rsidRDefault="001D528A">
      <w:pPr>
        <w:spacing w:after="0"/>
      </w:pPr>
      <w:r>
        <w:separator/>
      </w:r>
    </w:p>
  </w:footnote>
  <w:footnote w:type="continuationSeparator" w:id="0">
    <w:p w:rsidR="001D528A" w:rsidRDefault="001D528A">
      <w:pPr>
        <w:spacing w:after="0"/>
      </w:pPr>
      <w:r>
        <w:continuationSeparator/>
      </w:r>
    </w:p>
  </w:footnote>
  <w:footnote w:id="1">
    <w:p w:rsidR="00261EE9" w:rsidRDefault="001D528A">
      <w:pPr>
        <w:pStyle w:val="Default"/>
        <w:jc w:val="both"/>
        <w:rPr>
          <w:iCs/>
          <w:color w:val="252C2F"/>
          <w:sz w:val="20"/>
          <w:szCs w:val="20"/>
          <w:shd w:val="clear" w:color="auto" w:fill="FFFFFF"/>
        </w:rPr>
      </w:pPr>
      <w:r>
        <w:rPr>
          <w:rStyle w:val="a3"/>
        </w:rPr>
        <w:footnoteRef/>
      </w:r>
      <w:r>
        <w:t xml:space="preserve"> </w:t>
      </w:r>
      <w:r>
        <w:rPr>
          <w:color w:val="auto"/>
          <w:sz w:val="20"/>
          <w:szCs w:val="20"/>
        </w:rPr>
        <w:t xml:space="preserve">В соответствии с пунктом 3 статьи 2 Федерального закона </w:t>
      </w:r>
      <w:r>
        <w:rPr>
          <w:iCs/>
          <w:color w:val="252C2F"/>
          <w:sz w:val="20"/>
          <w:szCs w:val="20"/>
          <w:shd w:val="clear" w:color="auto" w:fill="FFFFFF"/>
        </w:rPr>
        <w:t>от 03.07.2016 № 238-ФЗ  «О независимой оценке квалификации» под независимой оценкой квалификации работников или лиц, претендующих на осуществление определенного вида трудовой деятельности понимается процедура подтверждения соответствия квалификации соискат</w:t>
      </w:r>
      <w:r>
        <w:rPr>
          <w:iCs/>
          <w:color w:val="252C2F"/>
          <w:sz w:val="20"/>
          <w:szCs w:val="20"/>
          <w:shd w:val="clear" w:color="auto" w:fill="FFFFFF"/>
        </w:rPr>
        <w:t xml:space="preserve">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РФ, проведенная центром оценки квалификаций в соответствии с указанным законом. </w:t>
      </w:r>
    </w:p>
    <w:p w:rsidR="00261EE9" w:rsidRDefault="00261EE9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E9" w:rsidRDefault="00261EE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E9" w:rsidRDefault="00261EE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E9" w:rsidRDefault="00261EE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C6D"/>
    <w:multiLevelType w:val="multilevel"/>
    <w:tmpl w:val="042B1C6D"/>
    <w:lvl w:ilvl="0">
      <w:start w:val="1"/>
      <w:numFmt w:val="decimal"/>
      <w:lvlText w:val="6.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6E74C0"/>
    <w:multiLevelType w:val="multilevel"/>
    <w:tmpl w:val="056E7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48CD"/>
    <w:multiLevelType w:val="multilevel"/>
    <w:tmpl w:val="130848CD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10FD"/>
    <w:multiLevelType w:val="multilevel"/>
    <w:tmpl w:val="1D3410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A7F55"/>
    <w:multiLevelType w:val="multilevel"/>
    <w:tmpl w:val="20DA7F55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73B"/>
    <w:multiLevelType w:val="multilevel"/>
    <w:tmpl w:val="2D49773B"/>
    <w:lvl w:ilvl="0">
      <w:start w:val="1"/>
      <w:numFmt w:val="decimal"/>
      <w:pStyle w:val="1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2D5458"/>
    <w:multiLevelType w:val="multilevel"/>
    <w:tmpl w:val="382D5458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472EE"/>
    <w:multiLevelType w:val="multilevel"/>
    <w:tmpl w:val="401472EE"/>
    <w:lvl w:ilvl="0">
      <w:start w:val="1"/>
      <w:numFmt w:val="decimal"/>
      <w:lvlText w:val="6.2.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4BE14C3F"/>
    <w:multiLevelType w:val="multilevel"/>
    <w:tmpl w:val="4BE14C3F"/>
    <w:lvl w:ilvl="0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772ED9"/>
    <w:multiLevelType w:val="multilevel"/>
    <w:tmpl w:val="4C772ED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334F"/>
    <w:multiLevelType w:val="multilevel"/>
    <w:tmpl w:val="51ED334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F19B8"/>
    <w:multiLevelType w:val="multilevel"/>
    <w:tmpl w:val="73CF19B8"/>
    <w:lvl w:ilvl="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8970983"/>
    <w:multiLevelType w:val="multilevel"/>
    <w:tmpl w:val="78970983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F4"/>
    <w:rsid w:val="00002606"/>
    <w:rsid w:val="0000753D"/>
    <w:rsid w:val="00014BDB"/>
    <w:rsid w:val="00022BC1"/>
    <w:rsid w:val="00027CCA"/>
    <w:rsid w:val="0003004E"/>
    <w:rsid w:val="00030941"/>
    <w:rsid w:val="00031F2C"/>
    <w:rsid w:val="00032DE0"/>
    <w:rsid w:val="0004727D"/>
    <w:rsid w:val="000607CB"/>
    <w:rsid w:val="00061F56"/>
    <w:rsid w:val="000669AC"/>
    <w:rsid w:val="000678CE"/>
    <w:rsid w:val="00071FFC"/>
    <w:rsid w:val="000739F2"/>
    <w:rsid w:val="00076099"/>
    <w:rsid w:val="000811C2"/>
    <w:rsid w:val="000812C9"/>
    <w:rsid w:val="00084D69"/>
    <w:rsid w:val="00085F00"/>
    <w:rsid w:val="00091DA0"/>
    <w:rsid w:val="00097ECB"/>
    <w:rsid w:val="000B2658"/>
    <w:rsid w:val="000C375A"/>
    <w:rsid w:val="000C5131"/>
    <w:rsid w:val="000D36E7"/>
    <w:rsid w:val="000F3BB0"/>
    <w:rsid w:val="000F509E"/>
    <w:rsid w:val="001000F3"/>
    <w:rsid w:val="0010058F"/>
    <w:rsid w:val="0010082B"/>
    <w:rsid w:val="0010711E"/>
    <w:rsid w:val="00115143"/>
    <w:rsid w:val="001248A2"/>
    <w:rsid w:val="001267B1"/>
    <w:rsid w:val="00131018"/>
    <w:rsid w:val="00131DA1"/>
    <w:rsid w:val="00133783"/>
    <w:rsid w:val="001343CA"/>
    <w:rsid w:val="00142708"/>
    <w:rsid w:val="00151206"/>
    <w:rsid w:val="00153F07"/>
    <w:rsid w:val="00163E60"/>
    <w:rsid w:val="0016503F"/>
    <w:rsid w:val="0017571D"/>
    <w:rsid w:val="001833FE"/>
    <w:rsid w:val="00185D9D"/>
    <w:rsid w:val="00195234"/>
    <w:rsid w:val="00196CAE"/>
    <w:rsid w:val="00197341"/>
    <w:rsid w:val="001A0860"/>
    <w:rsid w:val="001A422E"/>
    <w:rsid w:val="001B010E"/>
    <w:rsid w:val="001B4A0B"/>
    <w:rsid w:val="001B7AE2"/>
    <w:rsid w:val="001D14FC"/>
    <w:rsid w:val="001D528A"/>
    <w:rsid w:val="001D70FE"/>
    <w:rsid w:val="001E15FB"/>
    <w:rsid w:val="001F14CD"/>
    <w:rsid w:val="00214F63"/>
    <w:rsid w:val="0022035F"/>
    <w:rsid w:val="002213C5"/>
    <w:rsid w:val="00225685"/>
    <w:rsid w:val="0023141A"/>
    <w:rsid w:val="00236532"/>
    <w:rsid w:val="00247408"/>
    <w:rsid w:val="00247F8B"/>
    <w:rsid w:val="00252999"/>
    <w:rsid w:val="00255A40"/>
    <w:rsid w:val="00261EE9"/>
    <w:rsid w:val="0028348A"/>
    <w:rsid w:val="00283513"/>
    <w:rsid w:val="00285AFA"/>
    <w:rsid w:val="002908A5"/>
    <w:rsid w:val="002925F2"/>
    <w:rsid w:val="002947DF"/>
    <w:rsid w:val="00294999"/>
    <w:rsid w:val="0029691F"/>
    <w:rsid w:val="002976F3"/>
    <w:rsid w:val="002A7287"/>
    <w:rsid w:val="002B3F6E"/>
    <w:rsid w:val="002B5525"/>
    <w:rsid w:val="002E220F"/>
    <w:rsid w:val="002E7160"/>
    <w:rsid w:val="002F7DE9"/>
    <w:rsid w:val="00300C65"/>
    <w:rsid w:val="0030341E"/>
    <w:rsid w:val="00321661"/>
    <w:rsid w:val="00321830"/>
    <w:rsid w:val="00324880"/>
    <w:rsid w:val="00337558"/>
    <w:rsid w:val="00343281"/>
    <w:rsid w:val="003445AF"/>
    <w:rsid w:val="00346D08"/>
    <w:rsid w:val="00361985"/>
    <w:rsid w:val="0036401A"/>
    <w:rsid w:val="00390107"/>
    <w:rsid w:val="003A0822"/>
    <w:rsid w:val="003A4BEA"/>
    <w:rsid w:val="003A56D4"/>
    <w:rsid w:val="003C5CA2"/>
    <w:rsid w:val="003D19F9"/>
    <w:rsid w:val="003D41D3"/>
    <w:rsid w:val="003E0C08"/>
    <w:rsid w:val="003E5969"/>
    <w:rsid w:val="003E5FCF"/>
    <w:rsid w:val="003F24D3"/>
    <w:rsid w:val="003F3EAA"/>
    <w:rsid w:val="003F5198"/>
    <w:rsid w:val="003F5576"/>
    <w:rsid w:val="003F7EE6"/>
    <w:rsid w:val="00401206"/>
    <w:rsid w:val="00415E4D"/>
    <w:rsid w:val="00416AE8"/>
    <w:rsid w:val="00423F9F"/>
    <w:rsid w:val="00425BE1"/>
    <w:rsid w:val="0043352B"/>
    <w:rsid w:val="00433C8F"/>
    <w:rsid w:val="00435531"/>
    <w:rsid w:val="00436A4F"/>
    <w:rsid w:val="004543EB"/>
    <w:rsid w:val="00480E42"/>
    <w:rsid w:val="00482F34"/>
    <w:rsid w:val="00484DC5"/>
    <w:rsid w:val="00485C56"/>
    <w:rsid w:val="00485C89"/>
    <w:rsid w:val="00493A0B"/>
    <w:rsid w:val="004B716D"/>
    <w:rsid w:val="004C75F4"/>
    <w:rsid w:val="004D2588"/>
    <w:rsid w:val="004D4590"/>
    <w:rsid w:val="004E5740"/>
    <w:rsid w:val="005069B7"/>
    <w:rsid w:val="005106FE"/>
    <w:rsid w:val="005244FC"/>
    <w:rsid w:val="005267A2"/>
    <w:rsid w:val="005472A0"/>
    <w:rsid w:val="00550CD6"/>
    <w:rsid w:val="005560FA"/>
    <w:rsid w:val="00566C4F"/>
    <w:rsid w:val="0057014E"/>
    <w:rsid w:val="00574E9A"/>
    <w:rsid w:val="00577B65"/>
    <w:rsid w:val="00580BB2"/>
    <w:rsid w:val="00581793"/>
    <w:rsid w:val="00581BE2"/>
    <w:rsid w:val="005859D8"/>
    <w:rsid w:val="005909EE"/>
    <w:rsid w:val="00590C0F"/>
    <w:rsid w:val="00593DDC"/>
    <w:rsid w:val="0059782D"/>
    <w:rsid w:val="005A0989"/>
    <w:rsid w:val="005A1092"/>
    <w:rsid w:val="005A3515"/>
    <w:rsid w:val="005A53DE"/>
    <w:rsid w:val="005B1D67"/>
    <w:rsid w:val="005B26FC"/>
    <w:rsid w:val="005B4581"/>
    <w:rsid w:val="005C620D"/>
    <w:rsid w:val="005C7B0D"/>
    <w:rsid w:val="005D12D7"/>
    <w:rsid w:val="005D58F7"/>
    <w:rsid w:val="005E3A1D"/>
    <w:rsid w:val="005E3E12"/>
    <w:rsid w:val="005E6E54"/>
    <w:rsid w:val="005F03DA"/>
    <w:rsid w:val="00600A7F"/>
    <w:rsid w:val="006038FB"/>
    <w:rsid w:val="00605275"/>
    <w:rsid w:val="0060537A"/>
    <w:rsid w:val="00611CD4"/>
    <w:rsid w:val="0061563C"/>
    <w:rsid w:val="00615A53"/>
    <w:rsid w:val="00620A0C"/>
    <w:rsid w:val="00622663"/>
    <w:rsid w:val="006239E8"/>
    <w:rsid w:val="00627810"/>
    <w:rsid w:val="00632559"/>
    <w:rsid w:val="00641526"/>
    <w:rsid w:val="00647FD6"/>
    <w:rsid w:val="0067084A"/>
    <w:rsid w:val="0067277B"/>
    <w:rsid w:val="00673D4D"/>
    <w:rsid w:val="0068133F"/>
    <w:rsid w:val="006831C5"/>
    <w:rsid w:val="006A7189"/>
    <w:rsid w:val="006C146B"/>
    <w:rsid w:val="006C3424"/>
    <w:rsid w:val="006C5D06"/>
    <w:rsid w:val="006D3E42"/>
    <w:rsid w:val="006D4A10"/>
    <w:rsid w:val="006D547F"/>
    <w:rsid w:val="006D6110"/>
    <w:rsid w:val="006D61A5"/>
    <w:rsid w:val="006D61F2"/>
    <w:rsid w:val="006E31BF"/>
    <w:rsid w:val="006E5C9F"/>
    <w:rsid w:val="006F6936"/>
    <w:rsid w:val="007037ED"/>
    <w:rsid w:val="00703E84"/>
    <w:rsid w:val="00730044"/>
    <w:rsid w:val="0073186F"/>
    <w:rsid w:val="007350F5"/>
    <w:rsid w:val="0073642B"/>
    <w:rsid w:val="00750804"/>
    <w:rsid w:val="007523B1"/>
    <w:rsid w:val="00752CD8"/>
    <w:rsid w:val="00765C9C"/>
    <w:rsid w:val="007758C6"/>
    <w:rsid w:val="00775B1F"/>
    <w:rsid w:val="0078248A"/>
    <w:rsid w:val="00782492"/>
    <w:rsid w:val="007879E1"/>
    <w:rsid w:val="00791D13"/>
    <w:rsid w:val="007A46F6"/>
    <w:rsid w:val="007A5CCE"/>
    <w:rsid w:val="007A67A8"/>
    <w:rsid w:val="007B20C7"/>
    <w:rsid w:val="007B7E45"/>
    <w:rsid w:val="007C32F8"/>
    <w:rsid w:val="007D3E36"/>
    <w:rsid w:val="007D6E59"/>
    <w:rsid w:val="007E1643"/>
    <w:rsid w:val="007E1C7C"/>
    <w:rsid w:val="007E45D4"/>
    <w:rsid w:val="007F001E"/>
    <w:rsid w:val="007F2B08"/>
    <w:rsid w:val="007F780F"/>
    <w:rsid w:val="00803A08"/>
    <w:rsid w:val="00810165"/>
    <w:rsid w:val="00827D42"/>
    <w:rsid w:val="00830067"/>
    <w:rsid w:val="00830FFE"/>
    <w:rsid w:val="008328BE"/>
    <w:rsid w:val="00832E61"/>
    <w:rsid w:val="00844EE9"/>
    <w:rsid w:val="00851C83"/>
    <w:rsid w:val="00851D09"/>
    <w:rsid w:val="00854BE6"/>
    <w:rsid w:val="00856A34"/>
    <w:rsid w:val="008576F2"/>
    <w:rsid w:val="00860C26"/>
    <w:rsid w:val="00867997"/>
    <w:rsid w:val="00872216"/>
    <w:rsid w:val="00873020"/>
    <w:rsid w:val="0087730C"/>
    <w:rsid w:val="00887B0C"/>
    <w:rsid w:val="008977D4"/>
    <w:rsid w:val="008B0825"/>
    <w:rsid w:val="008B1B81"/>
    <w:rsid w:val="008B3852"/>
    <w:rsid w:val="008C0F99"/>
    <w:rsid w:val="008D0D0E"/>
    <w:rsid w:val="008D5800"/>
    <w:rsid w:val="008D5971"/>
    <w:rsid w:val="008D6CB9"/>
    <w:rsid w:val="008E03EB"/>
    <w:rsid w:val="00900737"/>
    <w:rsid w:val="00900C17"/>
    <w:rsid w:val="009029F3"/>
    <w:rsid w:val="00917DCD"/>
    <w:rsid w:val="009219AF"/>
    <w:rsid w:val="00927D6C"/>
    <w:rsid w:val="00934192"/>
    <w:rsid w:val="00934B20"/>
    <w:rsid w:val="00950C1D"/>
    <w:rsid w:val="009535DF"/>
    <w:rsid w:val="00984A40"/>
    <w:rsid w:val="009A4118"/>
    <w:rsid w:val="009A7188"/>
    <w:rsid w:val="009D6589"/>
    <w:rsid w:val="009E145A"/>
    <w:rsid w:val="009E550F"/>
    <w:rsid w:val="009E7BD8"/>
    <w:rsid w:val="009F0ACF"/>
    <w:rsid w:val="009F6C49"/>
    <w:rsid w:val="00A229F8"/>
    <w:rsid w:val="00A24C7F"/>
    <w:rsid w:val="00A2524E"/>
    <w:rsid w:val="00A274F4"/>
    <w:rsid w:val="00A32340"/>
    <w:rsid w:val="00A41CA1"/>
    <w:rsid w:val="00A41CC1"/>
    <w:rsid w:val="00A4246A"/>
    <w:rsid w:val="00A55C72"/>
    <w:rsid w:val="00A56F27"/>
    <w:rsid w:val="00A615EA"/>
    <w:rsid w:val="00A61BFE"/>
    <w:rsid w:val="00A64F40"/>
    <w:rsid w:val="00A65520"/>
    <w:rsid w:val="00A704D6"/>
    <w:rsid w:val="00A70B9D"/>
    <w:rsid w:val="00A712A6"/>
    <w:rsid w:val="00A71B10"/>
    <w:rsid w:val="00A75A03"/>
    <w:rsid w:val="00A847C0"/>
    <w:rsid w:val="00A946D8"/>
    <w:rsid w:val="00A9556B"/>
    <w:rsid w:val="00A95A05"/>
    <w:rsid w:val="00AA7399"/>
    <w:rsid w:val="00AB10BB"/>
    <w:rsid w:val="00AB5BA9"/>
    <w:rsid w:val="00AB5EE6"/>
    <w:rsid w:val="00AB654B"/>
    <w:rsid w:val="00AC0433"/>
    <w:rsid w:val="00AC18D2"/>
    <w:rsid w:val="00AC44B7"/>
    <w:rsid w:val="00AC6CE0"/>
    <w:rsid w:val="00AD0711"/>
    <w:rsid w:val="00AD53BF"/>
    <w:rsid w:val="00AD577C"/>
    <w:rsid w:val="00AF1EAA"/>
    <w:rsid w:val="00AF369B"/>
    <w:rsid w:val="00B13A83"/>
    <w:rsid w:val="00B1409B"/>
    <w:rsid w:val="00B14DAD"/>
    <w:rsid w:val="00B26772"/>
    <w:rsid w:val="00B26ADA"/>
    <w:rsid w:val="00B3401D"/>
    <w:rsid w:val="00B3519E"/>
    <w:rsid w:val="00B42DC1"/>
    <w:rsid w:val="00B43A40"/>
    <w:rsid w:val="00B46362"/>
    <w:rsid w:val="00B543A6"/>
    <w:rsid w:val="00B723C6"/>
    <w:rsid w:val="00B847A3"/>
    <w:rsid w:val="00B864DE"/>
    <w:rsid w:val="00B86FCD"/>
    <w:rsid w:val="00B927EB"/>
    <w:rsid w:val="00B95A50"/>
    <w:rsid w:val="00BB44DA"/>
    <w:rsid w:val="00BB5B4B"/>
    <w:rsid w:val="00BC537D"/>
    <w:rsid w:val="00BC566C"/>
    <w:rsid w:val="00BC5A3A"/>
    <w:rsid w:val="00BD35A9"/>
    <w:rsid w:val="00BD3863"/>
    <w:rsid w:val="00BD4C91"/>
    <w:rsid w:val="00BD72E1"/>
    <w:rsid w:val="00BF2E03"/>
    <w:rsid w:val="00C00E12"/>
    <w:rsid w:val="00C02F6A"/>
    <w:rsid w:val="00C1096E"/>
    <w:rsid w:val="00C1099B"/>
    <w:rsid w:val="00C2611F"/>
    <w:rsid w:val="00C26A16"/>
    <w:rsid w:val="00C32EF2"/>
    <w:rsid w:val="00C367B6"/>
    <w:rsid w:val="00C515A0"/>
    <w:rsid w:val="00C52A9C"/>
    <w:rsid w:val="00C52F56"/>
    <w:rsid w:val="00C605F5"/>
    <w:rsid w:val="00C62C8D"/>
    <w:rsid w:val="00C65698"/>
    <w:rsid w:val="00C81841"/>
    <w:rsid w:val="00C820EC"/>
    <w:rsid w:val="00C83BEE"/>
    <w:rsid w:val="00C84A57"/>
    <w:rsid w:val="00C93167"/>
    <w:rsid w:val="00CA6700"/>
    <w:rsid w:val="00CA6AEB"/>
    <w:rsid w:val="00CB75A3"/>
    <w:rsid w:val="00CC34EF"/>
    <w:rsid w:val="00CD25FD"/>
    <w:rsid w:val="00CD50B5"/>
    <w:rsid w:val="00CE5EE6"/>
    <w:rsid w:val="00CF1D7D"/>
    <w:rsid w:val="00CF5ED2"/>
    <w:rsid w:val="00D0114D"/>
    <w:rsid w:val="00D07B56"/>
    <w:rsid w:val="00D1318D"/>
    <w:rsid w:val="00D20624"/>
    <w:rsid w:val="00D25030"/>
    <w:rsid w:val="00D25DA1"/>
    <w:rsid w:val="00D273E6"/>
    <w:rsid w:val="00D30A0F"/>
    <w:rsid w:val="00D41C76"/>
    <w:rsid w:val="00D41CC3"/>
    <w:rsid w:val="00D420FF"/>
    <w:rsid w:val="00D47D61"/>
    <w:rsid w:val="00D52AF8"/>
    <w:rsid w:val="00D54C8E"/>
    <w:rsid w:val="00D57BCF"/>
    <w:rsid w:val="00D65B36"/>
    <w:rsid w:val="00D71564"/>
    <w:rsid w:val="00D73B30"/>
    <w:rsid w:val="00D77339"/>
    <w:rsid w:val="00D860F1"/>
    <w:rsid w:val="00D87530"/>
    <w:rsid w:val="00D878D6"/>
    <w:rsid w:val="00D91071"/>
    <w:rsid w:val="00D93C02"/>
    <w:rsid w:val="00DA3B12"/>
    <w:rsid w:val="00DB71F4"/>
    <w:rsid w:val="00DD38C4"/>
    <w:rsid w:val="00DD5F41"/>
    <w:rsid w:val="00DE2007"/>
    <w:rsid w:val="00DF2ABC"/>
    <w:rsid w:val="00DF6FC4"/>
    <w:rsid w:val="00E165AA"/>
    <w:rsid w:val="00E16926"/>
    <w:rsid w:val="00E17BE0"/>
    <w:rsid w:val="00E27997"/>
    <w:rsid w:val="00E35FB0"/>
    <w:rsid w:val="00E43946"/>
    <w:rsid w:val="00E5401F"/>
    <w:rsid w:val="00E60C1D"/>
    <w:rsid w:val="00E72941"/>
    <w:rsid w:val="00E734B0"/>
    <w:rsid w:val="00E76AAC"/>
    <w:rsid w:val="00E76F44"/>
    <w:rsid w:val="00E80B4D"/>
    <w:rsid w:val="00E85E4B"/>
    <w:rsid w:val="00EA2C4D"/>
    <w:rsid w:val="00EA7641"/>
    <w:rsid w:val="00EC7773"/>
    <w:rsid w:val="00ED3725"/>
    <w:rsid w:val="00EF3110"/>
    <w:rsid w:val="00EF6041"/>
    <w:rsid w:val="00F05266"/>
    <w:rsid w:val="00F06390"/>
    <w:rsid w:val="00F07AF9"/>
    <w:rsid w:val="00F10CAC"/>
    <w:rsid w:val="00F13204"/>
    <w:rsid w:val="00F23E22"/>
    <w:rsid w:val="00F24AFA"/>
    <w:rsid w:val="00F34E69"/>
    <w:rsid w:val="00F46B76"/>
    <w:rsid w:val="00F46C6F"/>
    <w:rsid w:val="00F50F4C"/>
    <w:rsid w:val="00F55078"/>
    <w:rsid w:val="00F63456"/>
    <w:rsid w:val="00F65154"/>
    <w:rsid w:val="00F71D9D"/>
    <w:rsid w:val="00F73C4F"/>
    <w:rsid w:val="00F803AE"/>
    <w:rsid w:val="00F820AD"/>
    <w:rsid w:val="00F844A3"/>
    <w:rsid w:val="00F850AD"/>
    <w:rsid w:val="00F8633A"/>
    <w:rsid w:val="00F92CBE"/>
    <w:rsid w:val="00FA0A44"/>
    <w:rsid w:val="00FA4340"/>
    <w:rsid w:val="00FA61B2"/>
    <w:rsid w:val="00FB257E"/>
    <w:rsid w:val="00FB7D18"/>
    <w:rsid w:val="00FC3791"/>
    <w:rsid w:val="00FC66B7"/>
    <w:rsid w:val="00FD4D7B"/>
    <w:rsid w:val="00FE49F7"/>
    <w:rsid w:val="00FF2DA4"/>
    <w:rsid w:val="00FF4581"/>
    <w:rsid w:val="00FF4A0D"/>
    <w:rsid w:val="54C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C68C1-2CD3-462E-8284-FF30391B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240" w:after="240" w:line="240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"/>
    <w:basedOn w:val="a"/>
    <w:link w:val="af1"/>
    <w:pPr>
      <w:keepLines/>
      <w:tabs>
        <w:tab w:val="left" w:pos="2160"/>
      </w:tabs>
      <w:spacing w:before="120" w:after="0" w:line="240" w:lineRule="auto"/>
      <w:ind w:left="2160" w:hanging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21">
    <w:name w:val="toc 2"/>
    <w:basedOn w:val="a"/>
    <w:next w:val="a"/>
    <w:uiPriority w:val="39"/>
    <w:unhideWhenUsed/>
    <w:qFormat/>
    <w:pPr>
      <w:spacing w:after="100"/>
      <w:ind w:left="220"/>
    </w:pPr>
  </w:style>
  <w:style w:type="paragraph" w:styleId="af2">
    <w:name w:val="footer"/>
    <w:basedOn w:val="a"/>
    <w:link w:val="af3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af1">
    <w:name w:val="Основной текст Знак"/>
    <w:basedOn w:val="a0"/>
    <w:link w:val="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qFormat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2">
    <w:name w:val="Сетка таблицы2"/>
    <w:basedOn w:val="a1"/>
    <w:uiPriority w:val="59"/>
    <w:qFormat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b/>
      <w:bCs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qFormat/>
    <w:rPr>
      <w:sz w:val="20"/>
      <w:szCs w:val="20"/>
    </w:rPr>
  </w:style>
  <w:style w:type="paragraph" w:customStyle="1" w:styleId="13">
    <w:name w:val="Рецензия1"/>
    <w:hidden/>
    <w:uiPriority w:val="99"/>
    <w:semiHidden/>
    <w:qFormat/>
    <w:rPr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qFormat/>
  </w:style>
  <w:style w:type="character" w:customStyle="1" w:styleId="af3">
    <w:name w:val="Нижний колонтитул Знак"/>
    <w:basedOn w:val="a0"/>
    <w:link w:val="af2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globus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2330-10E6-49B6-AC1A-DEA4A43F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3857</Words>
  <Characters>21990</Characters>
  <Application>Microsoft Office Word</Application>
  <DocSecurity>0</DocSecurity>
  <Lines>183</Lines>
  <Paragraphs>51</Paragraphs>
  <ScaleCrop>false</ScaleCrop>
  <Company/>
  <LinksUpToDate>false</LinksUpToDate>
  <CharactersWithSpaces>25796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n.lopatina</dc:creator>
  <cp:lastModifiedBy>Юречко Елизавета Эдуардовна</cp:lastModifiedBy>
  <cp:revision>23</cp:revision>
  <cp:lastPrinted>2021-02-25T13:05:00Z</cp:lastPrinted>
  <dcterms:created xsi:type="dcterms:W3CDTF">2021-09-20T07:52:00Z</dcterms:created>
  <dcterms:modified xsi:type="dcterms:W3CDTF">2023-09-07T12:14:00Z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307A75B3D06E4933B43A8683E8339887_12</vt:lpwstr>
  </property>
</Properties>
</file>